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926"/>
        <w:pBdr/>
        <w:spacing/>
        <w:ind/>
        <w:jc w:val="both"/>
        <w:rPr/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935" distR="114935" simplePos="0" relativeHeight="251658241" behindDoc="0" locked="0" layoutInCell="1" allowOverlap="1">
                <wp:simplePos x="0" y="0"/>
                <wp:positionH relativeFrom="column">
                  <wp:posOffset>47625</wp:posOffset>
                </wp:positionH>
                <wp:positionV relativeFrom="paragraph">
                  <wp:posOffset>45085</wp:posOffset>
                </wp:positionV>
                <wp:extent cx="2938780" cy="2528030"/>
                <wp:effectExtent l="6350" t="6350" r="6350" b="6350"/>
                <wp:wrapNone/>
                <wp:docPr id="1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 flipH="0" flipV="0">
                          <a:off x="0" y="0"/>
                          <a:ext cx="2938779" cy="252802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926"/>
                              <w:pBdr/>
                              <w:spacing/>
                              <w:ind/>
                              <w:rPr/>
                            </w:pPr>
                            <w:r>
                              <w:rPr>
                                <w:b/>
                                <w:szCs w:val="28"/>
                              </w:rPr>
                            </w:r>
                            <w:r>
                              <w:rPr>
                                <w:b/>
                                <w:szCs w:val="28"/>
                              </w:rPr>
                            </w:r>
                            <w:r/>
                          </w:p>
                          <w:p>
                            <w:pPr>
                              <w:pStyle w:val="926"/>
                              <w:pBdr/>
                              <w:spacing/>
                              <w:ind/>
                              <w:jc w:val="center"/>
                              <w:rPr/>
                            </w:pPr>
                            <w:r>
                              <w:rPr>
                                <w:rFonts w:ascii="Calibri" w:hAnsi="Calibri" w:eastAsia="Calibri" w:cs="Calibri"/>
                                <w:sz w:val="20"/>
                                <w:szCs w:val="20"/>
                              </w:rPr>
                              <mc:AlternateContent>
                                <mc:Choice Requires="wpg">
                                  <w:drawing>
                                    <wp:inline xmlns:wp="http://schemas.openxmlformats.org/drawingml/2006/wordprocessingDrawing" distT="0" distB="0" distL="0" distR="0">
                                      <wp:extent cx="531495" cy="571684"/>
                                      <wp:effectExtent l="0" t="0" r="0" b="0"/>
                                      <wp:docPr id="2" name="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902641975" name=""/>
                                              <pic:cNvPicPr/>
                                              <pic:nvPr/>
                                            </pic:nvPicPr>
                                            <pic:blipFill>
                                              <a:blip r:embed="rId10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531495" cy="57168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mc:Choice>
                                <mc:Fallback>
                                  <w:pict>
                                    <v:shapetype id="_x0000_t75" coordsize="21600,21600" o:spt="75" o:preferrelative="t" path="m@4@5l@4@11@9@11@9@5xe" filled="f" stroked="f">
                                      <v:stroke joinstyle="miter"/>
                                      <v:formulas>
                                        <v:f eqn="if lineDrawn pixelLineWidth 0"/>
                                        <v:f eqn="sum @0 1 0"/>
                                        <v:f eqn="sum 0 0 @1"/>
                                        <v:f eqn="prod @2 1 2"/>
                                        <v:f eqn="prod @3 21600 pixelWidth"/>
                                        <v:f eqn="prod @3 21600 pixelHeight"/>
                                        <v:f eqn="sum @0 0 1"/>
                                        <v:f eqn="prod @6 1 2"/>
                                        <v:f eqn="prod @7 21600 pixelWidth"/>
                                        <v:f eqn="sum @8 21600 0"/>
                                        <v:f eqn="prod @7 21600 pixelHeight"/>
                                        <v:f eqn="sum @10 21600 0"/>
                                      </v:formulas>
                                      <v:path o:extrusionok="f" gradientshapeok="t" o:connecttype="rect"/>
                                      <o:lock v:ext="edit" aspectratio="t"/>
                                    </v:shapetype>
                                    <v:shape id="_x0000_i0" o:spid="_x0000_s0" type="#_x0000_t75" style="width:41.85pt;height:45.01pt;mso-wrap-distance-left:0.00pt;mso-wrap-distance-top:0.00pt;mso-wrap-distance-right:0.00pt;mso-wrap-distance-bottom:0.00pt;z-index:1;" stroked="f">
                                      <v:imagedata r:id="rId10" o:title=""/>
                                      <o:lock v:ext="edit" rotation="t"/>
                                    </v:shape>
                                  </w:pict>
                                </mc:Fallback>
                              </mc:AlternateContent>
                            </w:r>
                            <w:r>
                              <w:rPr>
                                <w:b/>
                                <w:szCs w:val="28"/>
                              </w:rPr>
                            </w:r>
                            <w:r/>
                          </w:p>
                          <w:p>
                            <w:pPr>
                              <w:pStyle w:val="926"/>
                              <w:pBdr/>
                              <w:spacing/>
                              <w:ind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Администрация Шарьинского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</w:p>
                          <w:p>
                            <w:pPr>
                              <w:pStyle w:val="926"/>
                              <w:pBdr/>
                              <w:spacing/>
                              <w:ind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муниципального района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</w:p>
                          <w:p>
                            <w:pPr>
                              <w:pStyle w:val="926"/>
                              <w:pBdr/>
                              <w:spacing/>
                              <w:ind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Костромской области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</w:p>
                          <w:p>
                            <w:pPr>
                              <w:pStyle w:val="926"/>
                              <w:pBdr/>
                              <w:spacing/>
                              <w:ind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ул. Октябрьская, д.21,  г. Шарья,  157500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</w:p>
                          <w:p>
                            <w:pPr>
                              <w:pStyle w:val="926"/>
                              <w:pBdr/>
                              <w:spacing/>
                              <w:ind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тел. (49449) 5-89-81, факс 5-03-50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</w:p>
                          <w:p>
                            <w:pPr>
                              <w:pStyle w:val="926"/>
                              <w:pBdr/>
                              <w:spacing/>
                              <w:ind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E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-</w:t>
                            </w:r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mail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: </w:t>
                            </w:r>
                            <w:r>
                              <w:rPr>
                                <w:rStyle w:val="970"/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 xml:space="preserve">sharya</w:t>
                            </w:r>
                            <w:r>
                              <w:rPr>
                                <w:rStyle w:val="970"/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@</w:t>
                            </w:r>
                            <w:r>
                              <w:rPr>
                                <w:rStyle w:val="970"/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 xml:space="preserve">kostroma.gov</w:t>
                            </w:r>
                            <w:r>
                              <w:rPr>
                                <w:rStyle w:val="970"/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.</w:t>
                            </w:r>
                            <w:r>
                              <w:rPr>
                                <w:rStyle w:val="970"/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 xml:space="preserve">ru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</w:p>
                          <w:p>
                            <w:pPr>
                              <w:pStyle w:val="926"/>
                              <w:pBdr/>
                              <w:spacing/>
                              <w:ind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  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ОКПО 04030707, ОГРН 1024402032600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</w:p>
                          <w:p>
                            <w:pPr>
                              <w:pStyle w:val="926"/>
                              <w:pBdr/>
                              <w:spacing/>
                              <w:ind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ИНН/КПП 4430001003/443001001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</w:p>
                          <w:p>
                            <w:pPr>
                              <w:pStyle w:val="926"/>
                              <w:pBdr/>
                              <w:spacing/>
                              <w:ind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от  «27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»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августа 2024 года  № 2738/02-05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</w:p>
                          <w:p>
                            <w:pPr>
                              <w:pStyle w:val="926"/>
                              <w:pBdr/>
                              <w:spacing/>
                              <w:ind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     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</w:p>
                          <w:p>
                            <w:pPr>
                              <w:pStyle w:val="926"/>
                              <w:pBdr/>
                              <w:spacing/>
                              <w:ind/>
                              <w:jc w:val="both"/>
                              <w:rPr/>
                            </w:pPr>
                            <w:r/>
                            <w:r/>
                          </w:p>
                          <w:p>
                            <w:pPr>
                              <w:pStyle w:val="926"/>
                              <w:pBdr/>
                              <w:spacing/>
                              <w:ind/>
                              <w:jc w:val="center"/>
                              <w:rPr/>
                            </w:pPr>
                            <w:r>
                              <w:rPr>
                                <w:b/>
                                <w:szCs w:val="28"/>
                              </w:rPr>
                            </w:r>
                            <w:r>
                              <w:rPr>
                                <w:b/>
                                <w:szCs w:val="28"/>
                              </w:rPr>
                            </w:r>
                            <w:r/>
                          </w:p>
                          <w:p>
                            <w:pPr>
                              <w:pStyle w:val="926"/>
                              <w:pBdr/>
                              <w:spacing/>
                              <w:ind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</w:r>
                            <w:r>
                              <w:rPr>
                                <w:b/>
                                <w:bCs/>
                              </w:rPr>
                            </w:r>
                            <w:r>
                              <w:rPr>
                                <w:b/>
                                <w:bCs/>
                              </w:rPr>
                            </w:r>
                          </w:p>
                        </w:txbxContent>
                      </wps:txbx>
                      <wps:bodyPr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1" o:spid="_x0000_s1" o:spt="202" type="#_x0000_t202" style="position:absolute;z-index:251658241;o:allowoverlap:true;o:allowincell:true;mso-position-horizontal-relative:text;margin-left:3.75pt;mso-position-horizontal:absolute;mso-position-vertical-relative:text;margin-top:3.55pt;mso-position-vertical:absolute;width:231.40pt;height:199.06pt;mso-wrap-distance-left:9.05pt;mso-wrap-distance-top:0.00pt;mso-wrap-distance-right:9.05pt;mso-wrap-distance-bottom:0.00pt;visibility:visible;" fillcolor="#FFFFFF" stroked="f">
                <v:textbox inset="0,0,0,0">
                  <w:txbxContent>
                    <w:p>
                      <w:pPr>
                        <w:pStyle w:val="926"/>
                        <w:pBdr/>
                        <w:spacing/>
                        <w:ind/>
                        <w:rPr/>
                      </w:pPr>
                      <w:r>
                        <w:rPr>
                          <w:b/>
                          <w:szCs w:val="28"/>
                        </w:rPr>
                      </w:r>
                      <w:r>
                        <w:rPr>
                          <w:b/>
                          <w:szCs w:val="28"/>
                        </w:rPr>
                      </w:r>
                      <w:r/>
                    </w:p>
                    <w:p>
                      <w:pPr>
                        <w:pStyle w:val="926"/>
                        <w:pBdr/>
                        <w:spacing/>
                        <w:ind/>
                        <w:jc w:val="center"/>
                        <w:rPr/>
                      </w:pPr>
                      <w:r>
                        <w:rPr>
                          <w:rFonts w:ascii="Calibri" w:hAnsi="Calibri" w:eastAsia="Calibri" w:cs="Calibri"/>
                          <w:sz w:val="20"/>
                          <w:szCs w:val="20"/>
                        </w:rPr>
                        <mc:AlternateContent>
                          <mc:Choice Requires="wpg">
                            <w:drawing>
                              <wp:inline xmlns:wp="http://schemas.openxmlformats.org/drawingml/2006/wordprocessingDrawing" distT="0" distB="0" distL="0" distR="0">
                                <wp:extent cx="531495" cy="571684"/>
                                <wp:effectExtent l="0" t="0" r="0" b="0"/>
                                <wp:docPr id="2" name="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902641975" name=""/>
                                        <pic:cNvPicPr/>
                                        <pic:nvPr/>
                                      </pic:nvPicPr>
                                      <pic:blipFill>
                                        <a:blip r:embed="rId10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531495" cy="57168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mc:Choice>
                          <mc:Fallback>
                            <w:pict>
                              <v:shapetype id="_x0000_t75" coordsize="21600,21600" o:spt="75" o:preferrelative="t" path="m@4@5l@4@11@9@11@9@5xe" filled="f" stroked="f">
                                <v:stroke joinstyle="miter"/>
                                <v:formulas>
                                  <v:f eqn="if lineDrawn pixelLineWidth 0"/>
                                  <v:f eqn="sum @0 1 0"/>
                                  <v:f eqn="sum 0 0 @1"/>
                                  <v:f eqn="prod @2 1 2"/>
                                  <v:f eqn="prod @3 21600 pixelWidth"/>
                                  <v:f eqn="prod @3 21600 pixelHeight"/>
                                  <v:f eqn="sum @0 0 1"/>
                                  <v:f eqn="prod @6 1 2"/>
                                  <v:f eqn="prod @7 21600 pixelWidth"/>
                                  <v:f eqn="sum @8 21600 0"/>
                                  <v:f eqn="prod @7 21600 pixelHeight"/>
                                  <v:f eqn="sum @10 21600 0"/>
                                </v:formulas>
                                <v:path o:extrusionok="f" gradientshapeok="t" o:connecttype="rect"/>
                                <o:lock v:ext="edit" aspectratio="t"/>
                              </v:shapetype>
                              <v:shape id="_x0000_i0" o:spid="_x0000_s0" type="#_x0000_t75" style="width:41.85pt;height:45.01pt;mso-wrap-distance-left:0.00pt;mso-wrap-distance-top:0.00pt;mso-wrap-distance-right:0.00pt;mso-wrap-distance-bottom:0.00pt;z-index:1;" stroked="f">
                                <v:imagedata r:id="rId10" o:title=""/>
                                <o:lock v:ext="edit" rotation="t"/>
                              </v:shape>
                            </w:pict>
                          </mc:Fallback>
                        </mc:AlternateContent>
                      </w:r>
                      <w:r>
                        <w:rPr>
                          <w:b/>
                          <w:szCs w:val="28"/>
                        </w:rPr>
                      </w:r>
                      <w:r/>
                    </w:p>
                    <w:p>
                      <w:pPr>
                        <w:pStyle w:val="926"/>
                        <w:pBdr/>
                        <w:spacing/>
                        <w:ind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Администрация Шарьинского</w:t>
                      </w:r>
                      <w:r>
                        <w:rPr>
                          <w:sz w:val="24"/>
                          <w:szCs w:val="24"/>
                        </w:rPr>
                      </w:r>
                      <w:r>
                        <w:rPr>
                          <w:sz w:val="24"/>
                          <w:szCs w:val="24"/>
                        </w:rPr>
                      </w:r>
                    </w:p>
                    <w:p>
                      <w:pPr>
                        <w:pStyle w:val="926"/>
                        <w:pBdr/>
                        <w:spacing/>
                        <w:ind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муниципального района</w:t>
                      </w:r>
                      <w:r>
                        <w:rPr>
                          <w:sz w:val="24"/>
                          <w:szCs w:val="24"/>
                        </w:rPr>
                      </w:r>
                      <w:r>
                        <w:rPr>
                          <w:sz w:val="24"/>
                          <w:szCs w:val="24"/>
                        </w:rPr>
                      </w:r>
                    </w:p>
                    <w:p>
                      <w:pPr>
                        <w:pStyle w:val="926"/>
                        <w:pBdr/>
                        <w:spacing/>
                        <w:ind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Костромской области</w:t>
                      </w:r>
                      <w:r>
                        <w:rPr>
                          <w:sz w:val="24"/>
                          <w:szCs w:val="24"/>
                        </w:rPr>
                      </w:r>
                      <w:r>
                        <w:rPr>
                          <w:sz w:val="24"/>
                          <w:szCs w:val="24"/>
                        </w:rPr>
                      </w:r>
                    </w:p>
                    <w:p>
                      <w:pPr>
                        <w:pStyle w:val="926"/>
                        <w:pBdr/>
                        <w:spacing/>
                        <w:ind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ул. Октябрьская, д.21,  г. Шарья,  157500</w:t>
                      </w:r>
                      <w:r>
                        <w:rPr>
                          <w:sz w:val="24"/>
                          <w:szCs w:val="24"/>
                        </w:rPr>
                      </w:r>
                      <w:r>
                        <w:rPr>
                          <w:sz w:val="24"/>
                          <w:szCs w:val="24"/>
                        </w:rPr>
                      </w:r>
                    </w:p>
                    <w:p>
                      <w:pPr>
                        <w:pStyle w:val="926"/>
                        <w:pBdr/>
                        <w:spacing/>
                        <w:ind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тел. (49449) 5-89-81, факс 5-03-50</w:t>
                      </w:r>
                      <w:r>
                        <w:rPr>
                          <w:sz w:val="24"/>
                          <w:szCs w:val="24"/>
                        </w:rPr>
                      </w:r>
                      <w:r>
                        <w:rPr>
                          <w:sz w:val="24"/>
                          <w:szCs w:val="24"/>
                        </w:rPr>
                      </w:r>
                    </w:p>
                    <w:p>
                      <w:pPr>
                        <w:pStyle w:val="926"/>
                        <w:pBdr/>
                        <w:spacing/>
                        <w:ind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  <w:lang w:val="en-US"/>
                        </w:rPr>
                        <w:t xml:space="preserve">E</w:t>
                      </w:r>
                      <w:r>
                        <w:rPr>
                          <w:sz w:val="24"/>
                          <w:szCs w:val="24"/>
                        </w:rPr>
                        <w:t xml:space="preserve">-</w:t>
                      </w:r>
                      <w:r>
                        <w:rPr>
                          <w:sz w:val="24"/>
                          <w:szCs w:val="24"/>
                          <w:lang w:val="en-US"/>
                        </w:rPr>
                        <w:t xml:space="preserve">mail</w:t>
                      </w:r>
                      <w:r>
                        <w:rPr>
                          <w:sz w:val="24"/>
                          <w:szCs w:val="24"/>
                        </w:rPr>
                        <w:t xml:space="preserve">: </w:t>
                      </w:r>
                      <w:r>
                        <w:rPr>
                          <w:rStyle w:val="970"/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  <w:t xml:space="preserve">sharya</w:t>
                      </w:r>
                      <w:r>
                        <w:rPr>
                          <w:rStyle w:val="970"/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@</w:t>
                      </w:r>
                      <w:r>
                        <w:rPr>
                          <w:rStyle w:val="970"/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  <w:t xml:space="preserve">kostroma.gov</w:t>
                      </w:r>
                      <w:r>
                        <w:rPr>
                          <w:rStyle w:val="970"/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.</w:t>
                      </w:r>
                      <w:r>
                        <w:rPr>
                          <w:rStyle w:val="970"/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  <w:t xml:space="preserve">ru</w:t>
                      </w:r>
                      <w:r>
                        <w:rPr>
                          <w:sz w:val="24"/>
                          <w:szCs w:val="24"/>
                        </w:rPr>
                      </w:r>
                      <w:r>
                        <w:rPr>
                          <w:sz w:val="24"/>
                          <w:szCs w:val="24"/>
                        </w:rPr>
                      </w:r>
                    </w:p>
                    <w:p>
                      <w:pPr>
                        <w:pStyle w:val="926"/>
                        <w:pBdr/>
                        <w:spacing/>
                        <w:ind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   </w:t>
                      </w:r>
                      <w:r>
                        <w:rPr>
                          <w:sz w:val="24"/>
                          <w:szCs w:val="24"/>
                        </w:rPr>
                        <w:t xml:space="preserve">ОКПО 04030707, ОГРН 1024402032600</w:t>
                      </w:r>
                      <w:r>
                        <w:rPr>
                          <w:sz w:val="24"/>
                          <w:szCs w:val="24"/>
                        </w:rPr>
                      </w:r>
                      <w:r>
                        <w:rPr>
                          <w:sz w:val="24"/>
                          <w:szCs w:val="24"/>
                        </w:rPr>
                      </w:r>
                    </w:p>
                    <w:p>
                      <w:pPr>
                        <w:pStyle w:val="926"/>
                        <w:pBdr/>
                        <w:spacing/>
                        <w:ind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ИНН/КПП 4430001003/443001001</w:t>
                      </w:r>
                      <w:r>
                        <w:rPr>
                          <w:sz w:val="24"/>
                          <w:szCs w:val="24"/>
                        </w:rPr>
                      </w:r>
                      <w:r>
                        <w:rPr>
                          <w:sz w:val="24"/>
                          <w:szCs w:val="24"/>
                        </w:rPr>
                      </w:r>
                    </w:p>
                    <w:p>
                      <w:pPr>
                        <w:pStyle w:val="926"/>
                        <w:pBdr/>
                        <w:spacing/>
                        <w:ind/>
                        <w:jc w:val="both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от  «27</w:t>
                      </w:r>
                      <w:r>
                        <w:rPr>
                          <w:sz w:val="24"/>
                          <w:szCs w:val="24"/>
                        </w:rPr>
                        <w:t xml:space="preserve">» </w:t>
                      </w:r>
                      <w:r>
                        <w:rPr>
                          <w:sz w:val="24"/>
                          <w:szCs w:val="24"/>
                        </w:rPr>
                        <w:t xml:space="preserve">августа 2024 года  № 2738/02-05</w:t>
                      </w:r>
                      <w:r>
                        <w:rPr>
                          <w:sz w:val="24"/>
                          <w:szCs w:val="24"/>
                        </w:rPr>
                      </w:r>
                      <w:r>
                        <w:rPr>
                          <w:sz w:val="24"/>
                          <w:szCs w:val="24"/>
                        </w:rPr>
                      </w:r>
                    </w:p>
                    <w:p>
                      <w:pPr>
                        <w:pStyle w:val="926"/>
                        <w:pBdr/>
                        <w:spacing/>
                        <w:ind/>
                        <w:jc w:val="both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      </w:t>
                      </w:r>
                      <w:r>
                        <w:rPr>
                          <w:sz w:val="24"/>
                          <w:szCs w:val="24"/>
                        </w:rPr>
                      </w:r>
                      <w:r>
                        <w:rPr>
                          <w:sz w:val="24"/>
                          <w:szCs w:val="24"/>
                        </w:rPr>
                      </w:r>
                    </w:p>
                    <w:p>
                      <w:pPr>
                        <w:pStyle w:val="926"/>
                        <w:pBdr/>
                        <w:spacing/>
                        <w:ind/>
                        <w:jc w:val="both"/>
                        <w:rPr/>
                      </w:pPr>
                      <w:r/>
                      <w:r/>
                    </w:p>
                    <w:p>
                      <w:pPr>
                        <w:pStyle w:val="926"/>
                        <w:pBdr/>
                        <w:spacing/>
                        <w:ind/>
                        <w:jc w:val="center"/>
                        <w:rPr/>
                      </w:pPr>
                      <w:r>
                        <w:rPr>
                          <w:b/>
                          <w:szCs w:val="28"/>
                        </w:rPr>
                      </w:r>
                      <w:r>
                        <w:rPr>
                          <w:b/>
                          <w:szCs w:val="28"/>
                        </w:rPr>
                      </w:r>
                      <w:r/>
                    </w:p>
                    <w:p>
                      <w:pPr>
                        <w:pStyle w:val="926"/>
                        <w:pBdr/>
                        <w:spacing/>
                        <w:ind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</w:r>
                      <w:r>
                        <w:rPr>
                          <w:b/>
                          <w:bCs/>
                        </w:rPr>
                      </w:r>
                      <w:r>
                        <w:rPr>
                          <w:b/>
                          <w:bCs/>
                        </w:rPr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</w:rPr>
      </w:r>
      <w:r/>
    </w:p>
    <w:p>
      <w:pPr>
        <w:pStyle w:val="926"/>
        <w:pBdr/>
        <w:spacing/>
        <w:ind/>
        <w:rPr/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935" distR="114935" simplePos="0" relativeHeight="524288" behindDoc="0" locked="0" layoutInCell="1" allowOverlap="1">
                <wp:simplePos x="0" y="0"/>
                <wp:positionH relativeFrom="column">
                  <wp:posOffset>3291840</wp:posOffset>
                </wp:positionH>
                <wp:positionV relativeFrom="paragraph">
                  <wp:posOffset>68580</wp:posOffset>
                </wp:positionV>
                <wp:extent cx="2923540" cy="1961515"/>
                <wp:effectExtent l="0" t="0" r="0" b="0"/>
                <wp:wrapNone/>
                <wp:docPr id="3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2923539" cy="196151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Bdr/>
                              <w:spacing/>
                              <w:ind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highlight w:val="none"/>
                              </w:rPr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</w:r>
                          </w:p>
                          <w:p>
                            <w:pPr>
                              <w:pStyle w:val="926"/>
                              <w:pBdr/>
                              <w:spacing/>
                              <w:ind/>
                              <w:jc w:val="center"/>
                              <w:rPr/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</w:r>
                            <w:r/>
                          </w:p>
                          <w:p>
                            <w:pPr>
                              <w:pBdr/>
                              <w:spacing/>
                              <w:ind/>
                              <w:jc w:val="center"/>
                              <w:rPr>
                                <w:highlight w:val="none"/>
                              </w:rPr>
                            </w:pPr>
                            <w:r>
                              <w:rPr>
                                <w:szCs w:val="28"/>
                                <w:highlight w:val="none"/>
                              </w:rPr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Официальный сайт Российской Федерации для  размещения информации о проведении торгов  </w:t>
                            </w:r>
                            <w:hyperlink r:id="rId11" w:tooltip="http://www.torgi.gov.ru/" w:history="1">
                              <w:r>
                                <w:rPr>
                                  <w:rStyle w:val="934"/>
                                  <w:sz w:val="28"/>
                                  <w:szCs w:val="28"/>
                                  <w:lang w:val="en-US" w:bidi="en-US"/>
                                </w:rPr>
                                <w:t xml:space="preserve">www</w:t>
                              </w:r>
                              <w:r>
                                <w:rPr>
                                  <w:rStyle w:val="934"/>
                                  <w:sz w:val="28"/>
                                  <w:szCs w:val="28"/>
                                  <w:lang w:bidi="en-US"/>
                                </w:rPr>
                                <w:t xml:space="preserve">.</w:t>
                              </w:r>
                              <w:r>
                                <w:rPr>
                                  <w:rStyle w:val="934"/>
                                  <w:sz w:val="28"/>
                                  <w:szCs w:val="28"/>
                                  <w:lang w:val="en-US" w:bidi="en-US"/>
                                </w:rPr>
                                <w:t xml:space="preserve">torgi</w:t>
                              </w:r>
                              <w:r>
                                <w:rPr>
                                  <w:rStyle w:val="934"/>
                                  <w:sz w:val="28"/>
                                  <w:szCs w:val="28"/>
                                  <w:lang w:bidi="en-US"/>
                                </w:rPr>
                                <w:t xml:space="preserve">.</w:t>
                              </w:r>
                              <w:r>
                                <w:rPr>
                                  <w:rStyle w:val="934"/>
                                  <w:sz w:val="28"/>
                                  <w:szCs w:val="28"/>
                                  <w:lang w:val="en-US" w:bidi="en-US"/>
                                </w:rPr>
                                <w:t xml:space="preserve">gov</w:t>
                              </w:r>
                              <w:r>
                                <w:rPr>
                                  <w:rStyle w:val="934"/>
                                  <w:sz w:val="28"/>
                                  <w:szCs w:val="28"/>
                                  <w:lang w:bidi="en-US"/>
                                </w:rPr>
                                <w:t xml:space="preserve">.</w:t>
                              </w:r>
                              <w:r>
                                <w:rPr>
                                  <w:rStyle w:val="934"/>
                                  <w:sz w:val="28"/>
                                  <w:szCs w:val="28"/>
                                  <w:lang w:val="en-US" w:bidi="en-US"/>
                                </w:rPr>
                                <w:t xml:space="preserve">ru</w:t>
                              </w:r>
                            </w:hyperlink>
                            <w:r>
                              <w:rPr>
                                <w:sz w:val="28"/>
                                <w:szCs w:val="28"/>
                                <w:lang w:bidi="en-US"/>
                              </w:rPr>
                              <w:t xml:space="preserve">.</w:t>
                            </w:r>
                            <w:r>
                              <w:rPr>
                                <w:highlight w:val="none"/>
                              </w:rPr>
                            </w:r>
                            <w:r>
                              <w:rPr>
                                <w:highlight w:val="none"/>
                              </w:rPr>
                            </w:r>
                          </w:p>
                          <w:p>
                            <w:pPr>
                              <w:pBdr/>
                              <w:spacing/>
                              <w:ind/>
                              <w:jc w:val="center"/>
                              <w:rPr/>
                            </w:pPr>
                            <w:r>
                              <w:rPr>
                                <w:szCs w:val="28"/>
                                <w:highlight w:val="none"/>
                              </w:rPr>
                            </w:r>
                            <w:r>
                              <w:rPr>
                                <w:szCs w:val="28"/>
                                <w:highlight w:val="none"/>
                              </w:rPr>
                            </w:r>
                            <w:r/>
                          </w:p>
                          <w:p>
                            <w:pPr>
                              <w:pStyle w:val="926"/>
                              <w:pBdr/>
                              <w:spacing/>
                              <w:ind/>
                              <w:jc w:val="center"/>
                              <w:rPr/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Официальный сайт Шарьинского муниципального района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</w:r>
                            <w:r/>
                          </w:p>
                          <w:p>
                            <w:pPr>
                              <w:pStyle w:val="926"/>
                              <w:pBdr/>
                              <w:spacing/>
                              <w:ind/>
                              <w:rPr/>
                            </w:pPr>
                            <w:r>
                              <w:rPr>
                                <w:szCs w:val="28"/>
                              </w:rPr>
                            </w:r>
                            <w:r>
                              <w:rPr>
                                <w:szCs w:val="28"/>
                              </w:rPr>
                            </w:r>
                            <w:r/>
                          </w:p>
                          <w:p>
                            <w:pPr>
                              <w:pStyle w:val="926"/>
                              <w:pBdr/>
                              <w:spacing/>
                              <w:ind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</w:r>
                          </w:p>
                        </w:txbxContent>
                      </wps:txbx>
                      <wps:bodyPr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2" o:spid="_x0000_s2" o:spt="202" type="#_x0000_t202" style="position:absolute;z-index:524288;o:allowoverlap:true;o:allowincell:true;mso-position-horizontal-relative:text;margin-left:259.20pt;mso-position-horizontal:absolute;mso-position-vertical-relative:text;margin-top:5.40pt;mso-position-vertical:absolute;width:230.20pt;height:154.45pt;mso-wrap-distance-left:9.05pt;mso-wrap-distance-top:0.00pt;mso-wrap-distance-right:9.05pt;mso-wrap-distance-bottom:0.00pt;visibility:visible;" fillcolor="#FFFFFF" stroked="f">
                <v:textbox inset="0,0,0,0">
                  <w:txbxContent>
                    <w:p>
                      <w:pPr>
                        <w:pBdr/>
                        <w:spacing/>
                        <w:ind/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  <w:highlight w:val="none"/>
                        </w:rPr>
                      </w:r>
                      <w:r>
                        <w:rPr>
                          <w:sz w:val="28"/>
                          <w:szCs w:val="28"/>
                        </w:rPr>
                      </w:r>
                      <w:r>
                        <w:rPr>
                          <w:sz w:val="28"/>
                          <w:szCs w:val="28"/>
                        </w:rPr>
                      </w:r>
                    </w:p>
                    <w:p>
                      <w:pPr>
                        <w:pStyle w:val="926"/>
                        <w:pBdr/>
                        <w:spacing/>
                        <w:ind/>
                        <w:jc w:val="center"/>
                        <w:rPr/>
                      </w:pPr>
                      <w:r>
                        <w:rPr>
                          <w:sz w:val="28"/>
                          <w:szCs w:val="28"/>
                        </w:rPr>
                      </w:r>
                      <w:r>
                        <w:rPr>
                          <w:sz w:val="28"/>
                          <w:szCs w:val="28"/>
                        </w:rPr>
                      </w:r>
                      <w:r/>
                    </w:p>
                    <w:p>
                      <w:pPr>
                        <w:pBdr/>
                        <w:spacing/>
                        <w:ind/>
                        <w:jc w:val="center"/>
                        <w:rPr>
                          <w:highlight w:val="none"/>
                        </w:rPr>
                      </w:pPr>
                      <w:r>
                        <w:rPr>
                          <w:szCs w:val="28"/>
                          <w:highlight w:val="none"/>
                        </w:rPr>
                      </w:r>
                      <w:r>
                        <w:rPr>
                          <w:sz w:val="28"/>
                          <w:szCs w:val="28"/>
                        </w:rPr>
                        <w:t xml:space="preserve">Официальный сайт Российской Федерации для  размещения информации о проведении торгов  </w:t>
                      </w:r>
                      <w:hyperlink r:id="rId11" w:tooltip="http://www.torgi.gov.ru/" w:history="1">
                        <w:r>
                          <w:rPr>
                            <w:rStyle w:val="934"/>
                            <w:sz w:val="28"/>
                            <w:szCs w:val="28"/>
                            <w:lang w:val="en-US" w:bidi="en-US"/>
                          </w:rPr>
                          <w:t xml:space="preserve">www</w:t>
                        </w:r>
                        <w:r>
                          <w:rPr>
                            <w:rStyle w:val="934"/>
                            <w:sz w:val="28"/>
                            <w:szCs w:val="28"/>
                            <w:lang w:bidi="en-US"/>
                          </w:rPr>
                          <w:t xml:space="preserve">.</w:t>
                        </w:r>
                        <w:r>
                          <w:rPr>
                            <w:rStyle w:val="934"/>
                            <w:sz w:val="28"/>
                            <w:szCs w:val="28"/>
                            <w:lang w:val="en-US" w:bidi="en-US"/>
                          </w:rPr>
                          <w:t xml:space="preserve">torgi</w:t>
                        </w:r>
                        <w:r>
                          <w:rPr>
                            <w:rStyle w:val="934"/>
                            <w:sz w:val="28"/>
                            <w:szCs w:val="28"/>
                            <w:lang w:bidi="en-US"/>
                          </w:rPr>
                          <w:t xml:space="preserve">.</w:t>
                        </w:r>
                        <w:r>
                          <w:rPr>
                            <w:rStyle w:val="934"/>
                            <w:sz w:val="28"/>
                            <w:szCs w:val="28"/>
                            <w:lang w:val="en-US" w:bidi="en-US"/>
                          </w:rPr>
                          <w:t xml:space="preserve">gov</w:t>
                        </w:r>
                        <w:r>
                          <w:rPr>
                            <w:rStyle w:val="934"/>
                            <w:sz w:val="28"/>
                            <w:szCs w:val="28"/>
                            <w:lang w:bidi="en-US"/>
                          </w:rPr>
                          <w:t xml:space="preserve">.</w:t>
                        </w:r>
                        <w:r>
                          <w:rPr>
                            <w:rStyle w:val="934"/>
                            <w:sz w:val="28"/>
                            <w:szCs w:val="28"/>
                            <w:lang w:val="en-US" w:bidi="en-US"/>
                          </w:rPr>
                          <w:t xml:space="preserve">ru</w:t>
                        </w:r>
                      </w:hyperlink>
                      <w:r>
                        <w:rPr>
                          <w:sz w:val="28"/>
                          <w:szCs w:val="28"/>
                          <w:lang w:bidi="en-US"/>
                        </w:rPr>
                        <w:t xml:space="preserve">.</w:t>
                      </w:r>
                      <w:r>
                        <w:rPr>
                          <w:highlight w:val="none"/>
                        </w:rPr>
                      </w:r>
                      <w:r>
                        <w:rPr>
                          <w:highlight w:val="none"/>
                        </w:rPr>
                      </w:r>
                    </w:p>
                    <w:p>
                      <w:pPr>
                        <w:pBdr/>
                        <w:spacing/>
                        <w:ind/>
                        <w:jc w:val="center"/>
                        <w:rPr/>
                      </w:pPr>
                      <w:r>
                        <w:rPr>
                          <w:szCs w:val="28"/>
                          <w:highlight w:val="none"/>
                        </w:rPr>
                      </w:r>
                      <w:r>
                        <w:rPr>
                          <w:szCs w:val="28"/>
                          <w:highlight w:val="none"/>
                        </w:rPr>
                      </w:r>
                      <w:r/>
                    </w:p>
                    <w:p>
                      <w:pPr>
                        <w:pStyle w:val="926"/>
                        <w:pBdr/>
                        <w:spacing/>
                        <w:ind/>
                        <w:jc w:val="center"/>
                        <w:rPr/>
                      </w:pPr>
                      <w:r>
                        <w:rPr>
                          <w:sz w:val="28"/>
                          <w:szCs w:val="28"/>
                        </w:rPr>
                        <w:t xml:space="preserve">Официальный сайт Шарьинского муниципального района</w:t>
                      </w:r>
                      <w:r>
                        <w:rPr>
                          <w:sz w:val="28"/>
                          <w:szCs w:val="28"/>
                        </w:rPr>
                      </w:r>
                      <w:r/>
                    </w:p>
                    <w:p>
                      <w:pPr>
                        <w:pStyle w:val="926"/>
                        <w:pBdr/>
                        <w:spacing/>
                        <w:ind/>
                        <w:rPr/>
                      </w:pPr>
                      <w:r>
                        <w:rPr>
                          <w:szCs w:val="28"/>
                        </w:rPr>
                      </w:r>
                      <w:r>
                        <w:rPr>
                          <w:szCs w:val="28"/>
                        </w:rPr>
                      </w:r>
                      <w:r/>
                    </w:p>
                    <w:p>
                      <w:pPr>
                        <w:pStyle w:val="926"/>
                        <w:pBdr/>
                        <w:spacing/>
                        <w:ind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</w:r>
                      <w:r>
                        <w:rPr>
                          <w:sz w:val="28"/>
                          <w:szCs w:val="28"/>
                        </w:rPr>
                      </w:r>
                      <w:r>
                        <w:rPr>
                          <w:sz w:val="28"/>
                          <w:szCs w:val="28"/>
                        </w:rPr>
                      </w:r>
                    </w:p>
                  </w:txbxContent>
                </v:textbox>
              </v:shape>
            </w:pict>
          </mc:Fallback>
        </mc:AlternateContent>
      </w:r>
      <w:r>
        <w:t xml:space="preserve">       </w:t>
      </w:r>
      <w:r/>
    </w:p>
    <w:p>
      <w:pPr>
        <w:pStyle w:val="926"/>
        <w:pBdr/>
        <w:spacing/>
        <w:ind/>
        <w:jc w:val="both"/>
        <w:rPr/>
      </w:pPr>
      <w:r/>
      <w:r/>
    </w:p>
    <w:p>
      <w:pPr>
        <w:pStyle w:val="926"/>
        <w:pBdr/>
        <w:spacing/>
        <w:ind w:right="0" w:firstLine="0" w:left="708"/>
        <w:rPr/>
      </w:pPr>
      <w:r>
        <w:rPr>
          <w:rFonts w:cs="Tahoma"/>
        </w:rPr>
      </w:r>
      <w:r>
        <w:rPr>
          <w:rFonts w:cs="Tahoma"/>
        </w:rPr>
      </w:r>
      <w:r/>
    </w:p>
    <w:p>
      <w:pPr>
        <w:pStyle w:val="926"/>
        <w:pBdr/>
        <w:spacing/>
        <w:ind w:right="0" w:firstLine="0" w:left="708"/>
        <w:jc w:val="both"/>
        <w:rPr/>
      </w:pPr>
      <w:r>
        <w:rPr>
          <w:b/>
        </w:rPr>
      </w:r>
      <w:r>
        <w:rPr>
          <w:b/>
        </w:rPr>
      </w:r>
      <w:r/>
    </w:p>
    <w:p>
      <w:pPr>
        <w:pStyle w:val="926"/>
        <w:pBdr/>
        <w:spacing/>
        <w:ind/>
        <w:jc w:val="both"/>
        <w:rPr/>
      </w:pPr>
      <w:r>
        <w:rPr>
          <w:b/>
        </w:rPr>
      </w:r>
      <w:r>
        <w:rPr>
          <w:b/>
        </w:rPr>
      </w:r>
      <w:r/>
    </w:p>
    <w:p>
      <w:pPr>
        <w:pStyle w:val="926"/>
        <w:pBdr/>
        <w:spacing/>
        <w:ind/>
        <w:jc w:val="both"/>
        <w:rPr/>
      </w:pPr>
      <w:r>
        <w:rPr>
          <w:b/>
        </w:rPr>
      </w:r>
      <w:r>
        <w:rPr>
          <w:b/>
        </w:rPr>
      </w:r>
      <w:r/>
    </w:p>
    <w:p>
      <w:pPr>
        <w:pStyle w:val="926"/>
        <w:pBdr/>
        <w:spacing/>
        <w:ind/>
        <w:rPr/>
      </w:pPr>
      <w:r>
        <w:t xml:space="preserve">       </w:t>
      </w:r>
      <w:r/>
    </w:p>
    <w:p>
      <w:pPr>
        <w:pStyle w:val="926"/>
        <w:pBdr/>
        <w:spacing/>
        <w:ind/>
        <w:jc w:val="both"/>
        <w:rPr/>
      </w:pPr>
      <w:r/>
      <w:r/>
    </w:p>
    <w:p>
      <w:pPr>
        <w:pStyle w:val="926"/>
        <w:pBdr/>
        <w:spacing/>
        <w:ind/>
        <w:jc w:val="both"/>
        <w:rPr/>
      </w:pPr>
      <w:r/>
      <w:r/>
    </w:p>
    <w:p>
      <w:pPr>
        <w:pStyle w:val="926"/>
        <w:pBdr/>
        <w:spacing/>
        <w:ind/>
        <w:jc w:val="both"/>
        <w:rPr/>
      </w:pPr>
      <w:r>
        <w:rPr>
          <w:sz w:val="26"/>
          <w:szCs w:val="26"/>
        </w:rPr>
        <w:t xml:space="preserve">                  </w:t>
      </w:r>
      <w:r/>
    </w:p>
    <w:p>
      <w:pPr>
        <w:pStyle w:val="926"/>
        <w:pBdr/>
        <w:spacing/>
        <w:ind/>
        <w:rPr/>
      </w:pPr>
      <w:r/>
      <w:r/>
    </w:p>
    <w:p>
      <w:pPr>
        <w:pStyle w:val="926"/>
        <w:pBdr/>
        <w:spacing/>
        <w:ind/>
        <w:rPr/>
      </w:pPr>
      <w:r/>
      <w:r/>
    </w:p>
    <w:p>
      <w:pPr>
        <w:pStyle w:val="926"/>
        <w:pBdr/>
        <w:spacing/>
        <w:ind/>
        <w:rPr/>
      </w:pPr>
      <w:r/>
      <w:r/>
    </w:p>
    <w:p>
      <w:pPr>
        <w:pStyle w:val="926"/>
        <w:pBdr/>
        <w:spacing/>
        <w:ind/>
        <w:rPr/>
      </w:pPr>
      <w:r/>
      <w:r/>
    </w:p>
    <w:p>
      <w:pPr>
        <w:pStyle w:val="926"/>
        <w:pBdr/>
        <w:spacing/>
        <w:ind/>
        <w:rPr>
          <w:rFonts w:cs="Tahoma"/>
          <w:b/>
          <w:bCs/>
        </w:rPr>
      </w:pPr>
      <w:r>
        <w:rPr>
          <w:rFonts w:cs="Tahoma"/>
          <w:b/>
          <w:bCs/>
        </w:rPr>
      </w:r>
      <w:r>
        <w:rPr>
          <w:rFonts w:cs="Tahoma"/>
          <w:b/>
          <w:bCs/>
        </w:rPr>
      </w:r>
      <w:r>
        <w:rPr>
          <w:rFonts w:cs="Tahoma"/>
          <w:b/>
          <w:bCs/>
        </w:rPr>
      </w:r>
    </w:p>
    <w:p>
      <w:pPr>
        <w:pStyle w:val="932"/>
        <w:pBdr/>
        <w:spacing w:line="260" w:lineRule="exact"/>
        <w:ind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3"/>
          <w:szCs w:val="23"/>
        </w:rPr>
        <w:t xml:space="preserve">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32"/>
        <w:pBdr/>
        <w:spacing w:line="260" w:lineRule="exact"/>
        <w:ind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pStyle w:val="932"/>
        <w:pBdr/>
        <w:spacing w:line="260" w:lineRule="exact"/>
        <w:ind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Извещение о проведении аукциона по продаже</w:t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pStyle w:val="932"/>
        <w:pBdr/>
        <w:spacing w:line="260" w:lineRule="exact"/>
        <w:ind/>
        <w:jc w:val="center"/>
        <w:rPr>
          <w:b/>
          <w:bCs/>
          <w:highlight w:val="none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земельного участка в электронной форме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pStyle w:val="932"/>
        <w:pBdr/>
        <w:spacing w:line="260" w:lineRule="exact"/>
        <w:ind/>
        <w:jc w:val="center"/>
        <w:rPr>
          <w:rFonts w:ascii="Times New Roman" w:hAnsi="Times New Roman"/>
          <w:sz w:val="28"/>
          <w:szCs w:val="28"/>
        </w:rPr>
      </w:pPr>
      <w:r>
        <w:rPr>
          <w:highlight w:val="none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32"/>
        <w:pBdr/>
        <w:spacing w:line="260" w:lineRule="exact"/>
        <w:ind w:firstLine="426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</w:rPr>
        <w:t xml:space="preserve">В соответстви</w:t>
      </w:r>
      <w:r>
        <w:rPr>
          <w:rFonts w:ascii="Times New Roman" w:hAnsi="Times New Roman"/>
          <w:sz w:val="28"/>
          <w:szCs w:val="28"/>
        </w:rPr>
        <w:t xml:space="preserve">и</w:t>
      </w:r>
      <w:r>
        <w:rPr>
          <w:rFonts w:ascii="Times New Roman" w:hAnsi="Times New Roman"/>
          <w:sz w:val="28"/>
          <w:szCs w:val="28"/>
        </w:rPr>
        <w:t xml:space="preserve"> с </w:t>
      </w:r>
      <w:r>
        <w:rPr>
          <w:rFonts w:ascii="Times New Roman" w:hAnsi="Times New Roman"/>
          <w:sz w:val="28"/>
          <w:szCs w:val="28"/>
        </w:rPr>
        <w:t xml:space="preserve">постановлением администрации </w:t>
      </w:r>
      <w:r>
        <w:rPr>
          <w:rFonts w:ascii="Times New Roman" w:hAnsi="Times New Roman"/>
          <w:sz w:val="28"/>
          <w:szCs w:val="28"/>
        </w:rPr>
        <w:t xml:space="preserve">Шарьинского муниципального района </w:t>
      </w:r>
      <w:r>
        <w:rPr>
          <w:rFonts w:ascii="Times New Roman" w:hAnsi="Times New Roman"/>
          <w:sz w:val="28"/>
          <w:szCs w:val="28"/>
        </w:rPr>
        <w:t xml:space="preserve">Костромской  области </w:t>
      </w:r>
      <w:r>
        <w:rPr>
          <w:rFonts w:ascii="Times New Roman" w:hAnsi="Times New Roman"/>
          <w:sz w:val="28"/>
          <w:szCs w:val="28"/>
        </w:rPr>
        <w:t xml:space="preserve">от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28.06</w:t>
      </w:r>
      <w:r>
        <w:rPr>
          <w:rFonts w:ascii="Times New Roman" w:hAnsi="Times New Roman"/>
          <w:sz w:val="28"/>
          <w:szCs w:val="28"/>
        </w:rPr>
        <w:t xml:space="preserve">.2</w:t>
      </w:r>
      <w:r>
        <w:rPr>
          <w:rFonts w:ascii="Times New Roman" w:hAnsi="Times New Roman"/>
          <w:sz w:val="28"/>
          <w:szCs w:val="28"/>
        </w:rPr>
        <w:t xml:space="preserve">02</w:t>
      </w:r>
      <w:r>
        <w:rPr>
          <w:rFonts w:ascii="Times New Roman" w:hAnsi="Times New Roman"/>
          <w:sz w:val="28"/>
          <w:szCs w:val="28"/>
        </w:rPr>
        <w:t xml:space="preserve">4 </w:t>
      </w:r>
      <w:r>
        <w:rPr>
          <w:rFonts w:ascii="Times New Roman" w:hAnsi="Times New Roman"/>
          <w:sz w:val="28"/>
          <w:szCs w:val="28"/>
        </w:rPr>
        <w:t xml:space="preserve">г. </w:t>
      </w:r>
      <w:r>
        <w:rPr>
          <w:rFonts w:ascii="Times New Roman" w:hAnsi="Times New Roman"/>
          <w:sz w:val="28"/>
          <w:szCs w:val="28"/>
        </w:rPr>
        <w:t xml:space="preserve">№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238 </w:t>
      </w:r>
      <w:r>
        <w:rPr>
          <w:rFonts w:ascii="Times New Roman" w:hAnsi="Times New Roman"/>
          <w:sz w:val="28"/>
          <w:szCs w:val="28"/>
        </w:rPr>
        <w:t xml:space="preserve">администрация Шарьинского муниципального района, </w:t>
      </w:r>
      <w:r>
        <w:rPr>
          <w:rFonts w:ascii="Times New Roman" w:hAnsi="Times New Roman"/>
          <w:sz w:val="28"/>
          <w:szCs w:val="28"/>
        </w:rPr>
        <w:t xml:space="preserve">являющаяся организатором аукцион</w:t>
      </w:r>
      <w:r>
        <w:rPr>
          <w:rFonts w:ascii="Times New Roman" w:hAnsi="Times New Roman"/>
          <w:sz w:val="28"/>
          <w:szCs w:val="28"/>
        </w:rPr>
        <w:t xml:space="preserve">а,  проводит </w:t>
      </w:r>
      <w:r>
        <w:rPr>
          <w:rFonts w:ascii="Times New Roman" w:hAnsi="Times New Roman"/>
          <w:sz w:val="28"/>
          <w:szCs w:val="28"/>
        </w:rPr>
        <w:t xml:space="preserve">электронный </w:t>
      </w:r>
      <w:r>
        <w:rPr>
          <w:rFonts w:ascii="Times New Roman" w:hAnsi="Times New Roman"/>
          <w:sz w:val="28"/>
          <w:szCs w:val="28"/>
        </w:rPr>
        <w:t xml:space="preserve">аукцион</w:t>
      </w:r>
      <w:r>
        <w:rPr>
          <w:rFonts w:ascii="Times New Roman" w:hAnsi="Times New Roman"/>
          <w:sz w:val="28"/>
          <w:szCs w:val="28"/>
        </w:rPr>
        <w:t xml:space="preserve"> по продаже в собственность земельного участка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государственная </w:t>
      </w:r>
      <w:r>
        <w:rPr>
          <w:rFonts w:ascii="Times New Roman" w:hAnsi="Times New Roman" w:cs="Times New Roman"/>
          <w:sz w:val="28"/>
          <w:szCs w:val="28"/>
        </w:rPr>
        <w:t xml:space="preserve">собственность на который не разграничена</w:t>
      </w:r>
      <w:r>
        <w:rPr>
          <w:rFonts w:ascii="Times New Roman" w:hAnsi="Times New Roman" w:cs="Times New Roman"/>
          <w:sz w:val="28"/>
          <w:szCs w:val="28"/>
        </w:rPr>
        <w:t xml:space="preserve"> (далее -аукцион)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widowControl w:val="false"/>
        <w:pBdr/>
        <w:spacing/>
        <w:ind w:firstLine="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u w:val="none"/>
        </w:rPr>
        <w:t xml:space="preserve">1. Организ</w:t>
      </w:r>
      <w:r>
        <w:rPr>
          <w:b/>
          <w:bCs/>
          <w:sz w:val="28"/>
          <w:szCs w:val="28"/>
          <w:u w:val="none"/>
        </w:rPr>
        <w:t xml:space="preserve">атор аукциона:</w:t>
      </w:r>
      <w:r>
        <w:rPr>
          <w:sz w:val="28"/>
          <w:szCs w:val="28"/>
          <w:u w:val="none"/>
        </w:rPr>
        <w:t xml:space="preserve"> </w:t>
      </w:r>
      <w:r>
        <w:rPr>
          <w:sz w:val="28"/>
          <w:szCs w:val="28"/>
        </w:rPr>
        <w:t xml:space="preserve"> Администрация Шарьинского муниципального района Костромской области, место нахождения</w:t>
      </w:r>
      <w:r>
        <w:rPr>
          <w:rFonts w:eastAsia="Times New Roman" w:cs="Tahoma"/>
          <w:sz w:val="28"/>
          <w:szCs w:val="28"/>
        </w:rPr>
        <w:t xml:space="preserve">: 157500, Костромская область,  город Шарья, улица Октябрьская, 21, телефон 8(49449) 5-89-81, </w:t>
      </w:r>
      <w:r>
        <w:rPr>
          <w:rFonts w:eastAsia="Times New Roman" w:cs="Tahoma"/>
          <w:sz w:val="28"/>
          <w:szCs w:val="28"/>
          <w:lang w:val="en-US"/>
        </w:rPr>
        <w:t xml:space="preserve">E</w:t>
      </w:r>
      <w:r>
        <w:rPr>
          <w:rFonts w:eastAsia="Times New Roman" w:cs="Tahoma"/>
          <w:sz w:val="28"/>
          <w:szCs w:val="28"/>
        </w:rPr>
        <w:t xml:space="preserve">-</w:t>
      </w:r>
      <w:r>
        <w:rPr>
          <w:rFonts w:eastAsia="Times New Roman" w:cs="Tahoma"/>
          <w:sz w:val="28"/>
          <w:szCs w:val="28"/>
          <w:lang w:val="en-US"/>
        </w:rPr>
        <w:t xml:space="preserve">mail</w:t>
      </w:r>
      <w:r>
        <w:rPr>
          <w:sz w:val="28"/>
          <w:szCs w:val="28"/>
          <w:lang w:val="ru-RU"/>
        </w:rPr>
        <w:t xml:space="preserve">: </w:t>
      </w:r>
      <w:r>
        <w:rPr>
          <w:sz w:val="28"/>
          <w:szCs w:val="28"/>
          <w:lang w:val="en-US"/>
        </w:rPr>
        <w:t xml:space="preserve">sharya@kostroma.gov.ru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26"/>
        <w:pBdr/>
        <w:tabs>
          <w:tab w:val="left" w:leader="none" w:pos="4515"/>
        </w:tabs>
        <w:spacing/>
        <w:ind w:right="0"/>
        <w:jc w:val="both"/>
        <w:rPr/>
      </w:pPr>
      <w:r>
        <w:rPr>
          <w:b/>
          <w:bCs/>
          <w:sz w:val="28"/>
          <w:szCs w:val="28"/>
        </w:rPr>
        <w:t xml:space="preserve">2. Предмет аукциона:</w:t>
      </w:r>
      <w:r>
        <w:rPr>
          <w:b/>
          <w:bCs/>
          <w:sz w:val="28"/>
          <w:szCs w:val="28"/>
        </w:rPr>
        <w:t xml:space="preserve"> </w:t>
      </w:r>
      <w:r>
        <w:rPr>
          <w:rFonts w:eastAsia="Times New Roman" w:cs="Times New Roman"/>
          <w:b w:val="0"/>
          <w:bCs w:val="0"/>
          <w:sz w:val="28"/>
          <w:szCs w:val="28"/>
          <w:lang w:eastAsia="ar-SA"/>
        </w:rPr>
        <w:t xml:space="preserve">земельн</w:t>
      </w:r>
      <w:r>
        <w:rPr>
          <w:rFonts w:eastAsia="Times New Roman" w:cs="Times New Roman"/>
          <w:b w:val="0"/>
          <w:bCs w:val="0"/>
          <w:sz w:val="28"/>
          <w:szCs w:val="28"/>
          <w:lang w:eastAsia="ar-SA"/>
        </w:rPr>
        <w:t xml:space="preserve">ый уча</w:t>
      </w:r>
      <w:r>
        <w:rPr>
          <w:rFonts w:eastAsia="Times New Roman" w:cs="Times New Roman"/>
          <w:b w:val="0"/>
          <w:bCs w:val="0"/>
          <w:sz w:val="28"/>
          <w:szCs w:val="28"/>
          <w:lang w:eastAsia="ar-SA"/>
        </w:rPr>
        <w:t xml:space="preserve">сток категории </w:t>
      </w:r>
      <w:r>
        <w:rPr>
          <w:rFonts w:ascii="Times New Roman" w:hAnsi="Times New Roman" w:eastAsia="Times New Roman" w:cs="Times New Roman"/>
          <w:sz w:val="28"/>
          <w:szCs w:val="28"/>
          <w:lang w:eastAsia="ar-SA"/>
        </w:rPr>
        <w:t xml:space="preserve">земли </w:t>
      </w:r>
      <w:r>
        <w:rPr>
          <w:rFonts w:ascii="Times New Roman" w:hAnsi="Times New Roman" w:eastAsia="Times New Roman" w:cs="Times New Roman"/>
          <w:sz w:val="28"/>
          <w:szCs w:val="28"/>
          <w:lang w:eastAsia="ar-SA"/>
        </w:rPr>
        <w:t xml:space="preserve">населенных пунктов с кадастровым номером 44:24:140101</w:t>
      </w:r>
      <w:r>
        <w:rPr>
          <w:rFonts w:ascii="Times New Roman" w:hAnsi="Times New Roman" w:eastAsia="Times New Roman" w:cs="Times New Roman"/>
          <w:sz w:val="28"/>
          <w:szCs w:val="28"/>
          <w:lang w:eastAsia="ar-SA"/>
        </w:rPr>
        <w:t xml:space="preserve">:996</w:t>
      </w:r>
      <w:r>
        <w:rPr>
          <w:rFonts w:ascii="Times New Roman" w:hAnsi="Times New Roman" w:eastAsia="Times New Roman" w:cs="Times New Roman"/>
          <w:sz w:val="28"/>
          <w:szCs w:val="28"/>
          <w:lang w:eastAsia="ar-SA"/>
        </w:rPr>
        <w:t xml:space="preserve">, имеющий ме</w:t>
      </w:r>
      <w:r>
        <w:rPr>
          <w:rFonts w:ascii="Times New Roman" w:hAnsi="Times New Roman" w:eastAsia="Times New Roman" w:cs="Times New Roman"/>
          <w:sz w:val="28"/>
          <w:szCs w:val="28"/>
          <w:lang w:eastAsia="ar-SA"/>
        </w:rPr>
        <w:t xml:space="preserve">стоположение: Российская Федерация, Костром</w:t>
      </w:r>
      <w:r>
        <w:rPr>
          <w:rFonts w:ascii="Times New Roman" w:hAnsi="Times New Roman" w:eastAsia="Times New Roman" w:cs="Times New Roman"/>
          <w:sz w:val="28"/>
          <w:szCs w:val="28"/>
          <w:lang w:eastAsia="ar-SA"/>
        </w:rPr>
        <w:t xml:space="preserve">ская область, Шарьинский муниципальный район, Одоевское сельское поселение, с. Одоевское, ул. Набережная, з/у 10А с видом разрешенного использования -  для индивидуального жилищного строительства, общей площадью 1275 кв.м</w:t>
      </w:r>
      <w:r>
        <w:t xml:space="preserve">.</w:t>
      </w:r>
      <w:r/>
    </w:p>
    <w:p>
      <w:pPr>
        <w:pStyle w:val="926"/>
        <w:pBdr/>
        <w:tabs>
          <w:tab w:val="left" w:leader="none" w:pos="4515"/>
        </w:tabs>
        <w:spacing/>
        <w:ind w:right="0" w:firstLine="0" w:left="0"/>
        <w:jc w:val="both"/>
        <w:rPr>
          <w:rFonts w:eastAsia="Times New Roman" w:cs="Times New Roman"/>
        </w:rPr>
      </w:pPr>
      <w:r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  <w:t xml:space="preserve">Начальная цена предмета аукциона (продажа права собственности) </w:t>
      </w:r>
      <w:r>
        <w:rPr>
          <w:rFonts w:eastAsia="Times New Roman" w:cs="Times New Roman"/>
          <w:b w:val="0"/>
          <w:bCs w:val="0"/>
          <w:sz w:val="28"/>
          <w:szCs w:val="28"/>
          <w:lang w:eastAsia="ar-SA"/>
        </w:rPr>
        <w:t xml:space="preserve">в соответствии с заключением о произведенной работе по оценке рыночной стоимости земельного участка, выполненного ООО  НП «Агентство Оценки»  по состоянию на 31 мая 2024 года, отчет № 8009, составляет </w:t>
      </w:r>
      <w:r>
        <w:rPr>
          <w:b w:val="0"/>
          <w:bCs w:val="0"/>
          <w:sz w:val="28"/>
          <w:szCs w:val="28"/>
        </w:rPr>
        <w:t xml:space="preserve"> - </w:t>
      </w:r>
      <w:r>
        <w:rPr>
          <w:rFonts w:eastAsia="Times New Roman" w:cs="Times New Roman"/>
          <w:b w:val="0"/>
          <w:bCs w:val="0"/>
          <w:sz w:val="28"/>
          <w:szCs w:val="28"/>
          <w:lang w:eastAsia="ar-SA"/>
        </w:rPr>
        <w:t xml:space="preserve">61000 рублей (шестьдесят одна тысяча рублей).  Сумма задатка – 12200 руб. 00 коп. (двенадцать тысяч двести рублей),  шаг аукциона - 1830  руб. 00 коп. (одна тысяча восемьсот тридцать рублей).</w:t>
      </w:r>
      <w:r>
        <w:rPr>
          <w:rFonts w:eastAsia="Times New Roman" w:cs="Times New Roman"/>
        </w:rPr>
      </w:r>
      <w:r>
        <w:rPr>
          <w:rFonts w:eastAsia="Times New Roman" w:cs="Times New Roman"/>
        </w:rPr>
      </w:r>
    </w:p>
    <w:p>
      <w:pPr>
        <w:pStyle w:val="926"/>
        <w:pBdr/>
        <w:tabs>
          <w:tab w:val="left" w:leader="none" w:pos="14"/>
          <w:tab w:val="left" w:leader="none" w:pos="68"/>
        </w:tabs>
        <w:spacing/>
        <w:ind w:right="0" w:firstLine="0" w:left="0"/>
        <w:jc w:val="both"/>
        <w:rPr>
          <w:b/>
          <w:bCs/>
          <w:highlight w:val="none"/>
        </w:rPr>
      </w:pPr>
      <w:r>
        <w:rPr>
          <w:rFonts w:ascii="Times New Roman" w:hAnsi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/>
          <w:b/>
          <w:bCs/>
          <w:sz w:val="28"/>
          <w:szCs w:val="28"/>
          <w:highlight w:val="none"/>
        </w:rPr>
        <w:t xml:space="preserve">3. </w:t>
      </w:r>
      <w:r>
        <w:rPr>
          <w:b/>
          <w:bCs/>
          <w:sz w:val="28"/>
          <w:szCs w:val="28"/>
        </w:rPr>
        <w:t xml:space="preserve">Сведения об  обременениях, особых условиях использования: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pBdr/>
        <w:tabs>
          <w:tab w:val="left" w:leader="none" w:pos="14"/>
          <w:tab w:val="left" w:leader="none" w:pos="68"/>
        </w:tabs>
        <w:spacing/>
        <w:ind w:right="0" w:firstLine="0" w:left="0"/>
        <w:jc w:val="both"/>
        <w:rPr>
          <w:highlight w:val="none"/>
        </w:rPr>
      </w:pPr>
      <w:r>
        <w:rPr>
          <w:rFonts w:eastAsia="Times New Roman" w:cs="Tahoma"/>
          <w:b w:val="0"/>
          <w:bCs w:val="0"/>
          <w:sz w:val="28"/>
          <w:szCs w:val="28"/>
          <w:lang w:val="ru-RU"/>
        </w:rPr>
        <w:t xml:space="preserve">Сведения об иных особых условиях использования: - </w:t>
      </w:r>
      <w:r>
        <w:rPr>
          <w:rFonts w:eastAsia="Times New Roman" w:cs="Times New Roman"/>
          <w:b w:val="0"/>
          <w:bCs w:val="0"/>
          <w:sz w:val="28"/>
          <w:szCs w:val="28"/>
          <w:lang w:val="ru-RU" w:eastAsia="ar-SA"/>
        </w:rPr>
        <w:t xml:space="preserve">отсутствуют.</w:t>
      </w:r>
      <w:r>
        <w:rPr>
          <w:highlight w:val="none"/>
        </w:rPr>
      </w:r>
      <w:r>
        <w:rPr>
          <w:highlight w:val="none"/>
        </w:rPr>
      </w:r>
    </w:p>
    <w:p>
      <w:pPr>
        <w:pStyle w:val="926"/>
        <w:pBdr/>
        <w:tabs>
          <w:tab w:val="left" w:leader="none" w:pos="14"/>
          <w:tab w:val="left" w:leader="none" w:pos="68"/>
        </w:tabs>
        <w:spacing/>
        <w:ind w:right="0" w:firstLine="0" w:left="0"/>
        <w:jc w:val="both"/>
        <w:rPr>
          <w:rFonts w:eastAsia="Times New Roman" w:cs="Times New Roman"/>
          <w:b w:val="0"/>
          <w:bCs w:val="0"/>
          <w:sz w:val="28"/>
          <w:szCs w:val="28"/>
          <w:highlight w:val="none"/>
          <w:lang w:eastAsia="ar-SA"/>
        </w:rPr>
      </w:pPr>
      <w:r>
        <w:rPr>
          <w:rFonts w:eastAsia="Times New Roman" w:cs="Times New Roman"/>
          <w:b/>
          <w:bCs/>
          <w:sz w:val="28"/>
          <w:szCs w:val="28"/>
          <w:lang w:eastAsia="ar-SA"/>
        </w:rPr>
        <w:t xml:space="preserve">4. Сведения о технических условиях подключения объекта капитального строительства к сетям инженерно-технического обеспечения и о максимально и (</w:t>
      </w:r>
      <w:r>
        <w:rPr>
          <w:rFonts w:eastAsia="Times New Roman" w:cs="Times New Roman"/>
          <w:b/>
          <w:bCs/>
          <w:sz w:val="28"/>
          <w:szCs w:val="28"/>
          <w:lang w:eastAsia="ar-SA"/>
        </w:rPr>
        <w:t xml:space="preserve">или) минимально допустимых параметрах разрешенного строительства:</w:t>
      </w:r>
      <w:r>
        <w:rPr>
          <w:rFonts w:eastAsia="Times New Roman" w:cs="Times New Roman"/>
          <w:b w:val="0"/>
          <w:bCs w:val="0"/>
          <w:sz w:val="28"/>
          <w:szCs w:val="28"/>
          <w:lang w:eastAsia="ar-SA"/>
        </w:rPr>
        <w:t xml:space="preserve"> </w:t>
      </w:r>
      <w:r>
        <w:rPr>
          <w:rFonts w:eastAsia="Times New Roman" w:cs="Times New Roman"/>
          <w:b w:val="0"/>
          <w:bCs w:val="0"/>
          <w:sz w:val="28"/>
          <w:szCs w:val="28"/>
          <w:highlight w:val="none"/>
          <w:lang w:eastAsia="ar-SA"/>
        </w:rPr>
      </w:r>
      <w:r>
        <w:rPr>
          <w:rFonts w:eastAsia="Times New Roman" w:cs="Times New Roman"/>
          <w:b w:val="0"/>
          <w:bCs w:val="0"/>
          <w:sz w:val="28"/>
          <w:szCs w:val="28"/>
          <w:highlight w:val="none"/>
          <w:lang w:eastAsia="ar-SA"/>
        </w:rPr>
      </w:r>
    </w:p>
    <w:p>
      <w:pPr>
        <w:pStyle w:val="926"/>
        <w:pBdr/>
        <w:spacing/>
        <w:ind w:right="0" w:firstLine="0" w:left="0"/>
        <w:jc w:val="both"/>
        <w:rPr>
          <w:rFonts w:eastAsia="Times New Roman"/>
          <w:sz w:val="28"/>
          <w:szCs w:val="28"/>
          <w:lang w:eastAsia="ar-SA"/>
        </w:rPr>
      </w:pPr>
      <w:r>
        <w:rPr>
          <w:rFonts w:eastAsia="Times New Roman"/>
          <w:sz w:val="28"/>
          <w:szCs w:val="28"/>
          <w:lang w:eastAsia="ar-SA"/>
        </w:rPr>
        <w:t xml:space="preserve">В соответствии с документами территориального плани</w:t>
      </w:r>
      <w:r>
        <w:rPr>
          <w:rFonts w:eastAsia="Times New Roman"/>
          <w:sz w:val="28"/>
          <w:szCs w:val="28"/>
          <w:lang w:eastAsia="ar-SA"/>
        </w:rPr>
        <w:t xml:space="preserve">рования Одоевского сельского поселения участок относится к жилой зоне, максимально и (или) минимально допустимые параметры разрешенного строительства объекта капитального строительства для данной территориальной зоны - не установлены. </w:t>
      </w:r>
      <w:r>
        <w:rPr>
          <w:rFonts w:eastAsia="Times New Roman"/>
          <w:sz w:val="28"/>
          <w:szCs w:val="28"/>
          <w:lang w:eastAsia="ar-SA"/>
        </w:rPr>
      </w:r>
      <w:r>
        <w:rPr>
          <w:rFonts w:eastAsia="Times New Roman"/>
          <w:sz w:val="28"/>
          <w:szCs w:val="28"/>
          <w:lang w:eastAsia="ar-SA"/>
        </w:rPr>
      </w:r>
    </w:p>
    <w:p>
      <w:pPr>
        <w:pStyle w:val="926"/>
        <w:pBdr/>
        <w:spacing/>
        <w:ind w:right="0" w:firstLine="0" w:left="0"/>
        <w:jc w:val="both"/>
        <w:rPr>
          <w:rFonts w:eastAsia="Times New Roman"/>
          <w:sz w:val="28"/>
          <w:szCs w:val="28"/>
          <w:lang w:eastAsia="ar-SA"/>
        </w:rPr>
      </w:pPr>
      <w:r>
        <w:rPr>
          <w:rFonts w:eastAsia="Times New Roman"/>
          <w:sz w:val="28"/>
          <w:szCs w:val="28"/>
          <w:lang w:eastAsia="ar-SA"/>
        </w:rPr>
        <w:t xml:space="preserve">Техническая возможность подключения объекта к сетям инженерно-технического обеспечения: </w:t>
      </w:r>
      <w:r>
        <w:rPr>
          <w:rFonts w:eastAsia="Times New Roman"/>
          <w:sz w:val="28"/>
          <w:szCs w:val="28"/>
          <w:lang w:eastAsia="ar-SA"/>
        </w:rPr>
      </w:r>
      <w:r>
        <w:rPr>
          <w:rFonts w:eastAsia="Times New Roman"/>
          <w:sz w:val="28"/>
          <w:szCs w:val="28"/>
          <w:lang w:eastAsia="ar-SA"/>
        </w:rPr>
      </w:r>
    </w:p>
    <w:p>
      <w:pPr>
        <w:pStyle w:val="926"/>
        <w:pBdr/>
        <w:spacing/>
        <w:ind w:right="0" w:firstLine="0" w:left="0"/>
        <w:jc w:val="both"/>
        <w:rPr>
          <w:rFonts w:eastAsia="Times New Roman"/>
          <w:sz w:val="28"/>
          <w:szCs w:val="28"/>
          <w:lang w:eastAsia="ar-SA"/>
        </w:rPr>
      </w:pPr>
      <w:r>
        <w:rPr>
          <w:rFonts w:eastAsia="Times New Roman"/>
          <w:sz w:val="28"/>
          <w:szCs w:val="28"/>
          <w:lang w:eastAsia="ar-SA"/>
        </w:rPr>
        <w:t xml:space="preserve">Водоснабжение: техническая возможность подключения к централизованной системе  водоотведения имеется (информация МКУП «Коммунсервис» от 29.08.2024г. № 192).</w:t>
      </w:r>
      <w:r>
        <w:rPr>
          <w:rFonts w:eastAsia="Times New Roman"/>
          <w:sz w:val="28"/>
          <w:szCs w:val="28"/>
          <w:lang w:eastAsia="ar-SA"/>
        </w:rPr>
      </w:r>
      <w:r>
        <w:rPr>
          <w:rFonts w:eastAsia="Times New Roman"/>
          <w:sz w:val="28"/>
          <w:szCs w:val="28"/>
          <w:lang w:eastAsia="ar-SA"/>
        </w:rPr>
      </w:r>
    </w:p>
    <w:p>
      <w:pPr>
        <w:pStyle w:val="926"/>
        <w:pBdr/>
        <w:spacing/>
        <w:ind w:right="0" w:firstLine="0" w:left="0"/>
        <w:jc w:val="both"/>
        <w:rPr>
          <w:rFonts w:eastAsia="Times New Roman"/>
          <w:sz w:val="28"/>
          <w:szCs w:val="28"/>
          <w:highlight w:val="none"/>
          <w:lang w:eastAsia="ar-SA"/>
        </w:rPr>
      </w:pPr>
      <w:r>
        <w:rPr>
          <w:rFonts w:eastAsia="Times New Roman"/>
          <w:sz w:val="28"/>
          <w:szCs w:val="28"/>
          <w:lang w:eastAsia="ar-SA"/>
        </w:rPr>
        <w:t xml:space="preserve">Водоотведение: техническая возможность подключения к централизованной системе  водоотведения отсутствует (информация МКУП «Коммунсервис» от 29.08.2024г. № 192).</w:t>
      </w:r>
      <w:r>
        <w:rPr>
          <w:rFonts w:eastAsia="Times New Roman"/>
          <w:sz w:val="28"/>
          <w:szCs w:val="28"/>
          <w:highlight w:val="none"/>
          <w:lang w:eastAsia="ar-SA"/>
        </w:rPr>
      </w:r>
      <w:r>
        <w:rPr>
          <w:rFonts w:eastAsia="Times New Roman"/>
          <w:sz w:val="28"/>
          <w:szCs w:val="28"/>
          <w:highlight w:val="none"/>
          <w:lang w:eastAsia="ar-SA"/>
        </w:rPr>
      </w:r>
    </w:p>
    <w:p>
      <w:pPr>
        <w:pStyle w:val="926"/>
        <w:pBdr/>
        <w:tabs>
          <w:tab w:val="left" w:leader="none" w:pos="14"/>
          <w:tab w:val="left" w:leader="none" w:pos="68"/>
        </w:tabs>
        <w:spacing/>
        <w:ind w:right="0" w:firstLine="0" w:left="0"/>
        <w:jc w:val="both"/>
        <w:rPr>
          <w:rFonts w:eastAsia="Times New Roman" w:cs="Times New Roman"/>
          <w:b w:val="0"/>
          <w:bCs w:val="0"/>
          <w:lang w:eastAsia="ar-SA"/>
        </w:rPr>
      </w:pPr>
      <w:r>
        <w:rPr>
          <w:rFonts w:eastAsia="Times New Roman"/>
          <w:sz w:val="28"/>
          <w:szCs w:val="28"/>
          <w:lang w:eastAsia="ar-SA"/>
        </w:rPr>
        <w:t xml:space="preserve">Газоснабжение: техническая возможность подключения к существующей системе  газоснабжения отсутствует</w:t>
      </w:r>
      <w:r>
        <w:rPr>
          <w:rFonts w:eastAsia="Times New Roman" w:cs="Times New Roman"/>
          <w:b w:val="0"/>
          <w:bCs w:val="0"/>
          <w:lang w:eastAsia="ar-SA"/>
        </w:rPr>
      </w:r>
      <w:r>
        <w:rPr>
          <w:rFonts w:eastAsia="Times New Roman" w:cs="Times New Roman"/>
          <w:b w:val="0"/>
          <w:bCs w:val="0"/>
          <w:lang w:eastAsia="ar-SA"/>
        </w:rPr>
      </w:r>
    </w:p>
    <w:p>
      <w:pPr>
        <w:pBdr/>
        <w:spacing/>
        <w:ind w:firstLine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5.</w:t>
      </w: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Место, дата, время и порядок проведения аукциона</w:t>
      </w:r>
      <w:r>
        <w:rPr>
          <w:sz w:val="28"/>
          <w:szCs w:val="28"/>
        </w:rPr>
        <w:t xml:space="preserve">: </w:t>
      </w:r>
      <w:r>
        <w:rPr>
          <w:sz w:val="28"/>
          <w:szCs w:val="28"/>
        </w:rPr>
        <w:t xml:space="preserve">Аукцион будет проводиться </w:t>
      </w:r>
      <w:r>
        <w:rPr>
          <w:b/>
          <w:bCs/>
          <w:sz w:val="28"/>
          <w:szCs w:val="28"/>
        </w:rPr>
        <w:t xml:space="preserve">15 октября </w:t>
      </w:r>
      <w:r>
        <w:rPr>
          <w:b/>
          <w:bCs/>
          <w:sz w:val="28"/>
          <w:szCs w:val="28"/>
        </w:rPr>
        <w:t xml:space="preserve">2024</w:t>
      </w:r>
      <w:r>
        <w:rPr>
          <w:sz w:val="28"/>
          <w:szCs w:val="28"/>
        </w:rPr>
        <w:t xml:space="preserve"> г. в 1</w:t>
      </w:r>
      <w:r>
        <w:rPr>
          <w:sz w:val="28"/>
          <w:szCs w:val="28"/>
        </w:rPr>
        <w:t xml:space="preserve">0</w:t>
      </w:r>
      <w:r>
        <w:rPr>
          <w:sz w:val="28"/>
          <w:szCs w:val="28"/>
        </w:rPr>
        <w:t xml:space="preserve">-00 часов</w:t>
      </w:r>
      <w:r>
        <w:rPr>
          <w:sz w:val="28"/>
          <w:szCs w:val="28"/>
        </w:rPr>
        <w:t xml:space="preserve"> (время московское) на электронной площадке ООО «РТС-тендер» </w:t>
      </w:r>
      <w:r>
        <w:rPr>
          <w:sz w:val="28"/>
          <w:szCs w:val="28"/>
        </w:rPr>
        <w:t xml:space="preserve"> </w:t>
      </w:r>
      <w:hyperlink r:id="rId12" w:tooltip="https://www.rts-tender.ru/" w:history="1">
        <w:r>
          <w:rPr>
            <w:rStyle w:val="934"/>
            <w:sz w:val="28"/>
            <w:szCs w:val="28"/>
          </w:rPr>
          <w:t xml:space="preserve">https://www.rts-tender.ru/</w:t>
        </w:r>
      </w:hyperlink>
      <w:r>
        <w:rPr>
          <w:sz w:val="28"/>
          <w:szCs w:val="28"/>
        </w:rPr>
        <w:t xml:space="preserve"> в информационно-телекоммуникационной сети «Интернет». Аукцион проводится в порядке, установленном статьями 39.11, 39.12 и 39.13 Земельного кодекса Российской Федерации.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6</w:t>
      </w:r>
      <w:r>
        <w:rPr>
          <w:sz w:val="28"/>
          <w:szCs w:val="28"/>
        </w:rPr>
        <w:t xml:space="preserve">.  </w:t>
      </w:r>
      <w:r>
        <w:rPr>
          <w:b/>
          <w:sz w:val="28"/>
          <w:szCs w:val="28"/>
        </w:rPr>
        <w:t xml:space="preserve">Форма торгов: </w:t>
      </w:r>
      <w:r>
        <w:rPr>
          <w:sz w:val="28"/>
          <w:szCs w:val="28"/>
        </w:rPr>
        <w:t xml:space="preserve">Торги проводятся в форме аукциона (открытого по форме подачи предложений</w:t>
      </w:r>
      <w:r>
        <w:rPr>
          <w:sz w:val="28"/>
          <w:szCs w:val="28"/>
        </w:rPr>
        <w:t xml:space="preserve"> в ходе проведения торгов) </w:t>
      </w:r>
      <w:r>
        <w:rPr>
          <w:sz w:val="28"/>
          <w:szCs w:val="28"/>
        </w:rPr>
        <w:t xml:space="preserve">в электронной форме на </w:t>
      </w:r>
      <w:r>
        <w:rPr>
          <w:iCs/>
          <w:sz w:val="28"/>
          <w:szCs w:val="28"/>
        </w:rPr>
        <w:t xml:space="preserve">электронной</w:t>
      </w:r>
      <w:r>
        <w:rPr>
          <w:sz w:val="28"/>
          <w:szCs w:val="28"/>
        </w:rPr>
        <w:t xml:space="preserve"> площадке, находящейся в информационно-телекоммуникационной сети Интернет по адресу: </w:t>
      </w:r>
      <w:hyperlink r:id="rId13" w:tooltip="https://www.rts-tender.ru/" w:history="1">
        <w:r>
          <w:rPr>
            <w:rStyle w:val="934"/>
            <w:sz w:val="28"/>
            <w:szCs w:val="28"/>
          </w:rPr>
          <w:t xml:space="preserve">https://www.rts-tender.ru/</w:t>
        </w:r>
      </w:hyperlink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7. Оператор электронной площадки – </w:t>
      </w:r>
      <w:r>
        <w:rPr>
          <w:sz w:val="28"/>
          <w:szCs w:val="28"/>
          <w:shd w:val="clear" w:color="auto" w:fill="fbfbfb"/>
        </w:rPr>
        <w:t xml:space="preserve">Общество с ограниченной ответственностью  «РТС-тендер», находящееся в информационно-телекоммуникационной сети Интернет по адресу: </w:t>
      </w:r>
      <w:hyperlink r:id="rId14" w:tooltip="https://www.rts-tender.ru/" w:history="1">
        <w:r>
          <w:rPr>
            <w:rStyle w:val="934"/>
            <w:sz w:val="28"/>
            <w:szCs w:val="28"/>
            <w:shd w:val="clear" w:color="auto" w:fill="fbfbfb"/>
          </w:rPr>
          <w:t xml:space="preserve">https://www.rts-tender.ru/</w:t>
        </w:r>
      </w:hyperlink>
      <w:r>
        <w:rPr>
          <w:sz w:val="28"/>
          <w:szCs w:val="28"/>
        </w:rPr>
        <w:t xml:space="preserve"> - (далее - Оператор электронной площадки).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Юридический адрес: </w:t>
      </w:r>
      <w:r>
        <w:rPr>
          <w:sz w:val="28"/>
          <w:szCs w:val="28"/>
          <w:shd w:val="clear" w:color="auto" w:fill="fbfbfb"/>
        </w:rPr>
        <w:t xml:space="preserve">121151, г. Москва, наб. Тараса Шевченко, д. 23А, сектор А, 24 этаж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Контакты: </w:t>
      </w:r>
      <w:hyperlink r:id="rId15" w:tooltip="mailto:info@rts-tender.ru" w:history="1">
        <w:r>
          <w:rPr>
            <w:rStyle w:val="934"/>
            <w:sz w:val="28"/>
            <w:szCs w:val="28"/>
            <w:shd w:val="clear" w:color="auto" w:fill="ffffff"/>
          </w:rPr>
          <w:t xml:space="preserve">info@rts-tender.ru</w:t>
        </w:r>
      </w:hyperlink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tabs>
          <w:tab w:val="left" w:leader="none" w:pos="540"/>
        </w:tabs>
        <w:spacing/>
        <w:ind/>
        <w:jc w:val="left"/>
        <w:outlineLvl w:val="0"/>
        <w:rPr>
          <w:sz w:val="28"/>
          <w:szCs w:val="28"/>
          <w:highlight w:val="none"/>
        </w:rPr>
      </w:pPr>
      <w:r>
        <w:rPr>
          <w:b/>
          <w:sz w:val="28"/>
          <w:szCs w:val="28"/>
        </w:rPr>
        <w:t xml:space="preserve">8. </w:t>
      </w:r>
      <w:r>
        <w:rPr>
          <w:b/>
          <w:bCs/>
          <w:sz w:val="28"/>
          <w:szCs w:val="28"/>
        </w:rPr>
        <w:t xml:space="preserve"> Место и </w:t>
      </w:r>
      <w:r>
        <w:rPr>
          <w:b/>
          <w:sz w:val="28"/>
          <w:szCs w:val="28"/>
        </w:rPr>
        <w:t xml:space="preserve">срок подачи заявок: </w:t>
      </w:r>
      <w:r>
        <w:rPr>
          <w:sz w:val="28"/>
          <w:szCs w:val="28"/>
        </w:rPr>
        <w:t xml:space="preserve"> оператору электронной площадки ООО «РТС-тендер» </w:t>
      </w:r>
      <w:hyperlink r:id="rId16" w:tooltip="https://www.rts-tender.ru/" w:history="1">
        <w:r>
          <w:rPr>
            <w:rStyle w:val="934"/>
            <w:sz w:val="28"/>
            <w:szCs w:val="28"/>
          </w:rPr>
          <w:t xml:space="preserve">https://www.rts-tender.ru/</w:t>
        </w:r>
      </w:hyperlink>
      <w:r>
        <w:rPr>
          <w:sz w:val="28"/>
          <w:szCs w:val="28"/>
        </w:rPr>
        <w:t xml:space="preserve">  в сети «Интернет»: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Bdr/>
        <w:spacing/>
        <w:ind w:firstLine="0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  <w:shd w:val="clear" w:color="auto" w:fill="ffffff"/>
        </w:rPr>
        <w:t xml:space="preserve">начало приема заявок:</w:t>
      </w:r>
      <w:r>
        <w:rPr>
          <w:b/>
          <w:sz w:val="28"/>
          <w:szCs w:val="28"/>
          <w:shd w:val="clear" w:color="auto" w:fill="ffffff"/>
        </w:rPr>
        <w:t xml:space="preserve"> </w:t>
      </w:r>
      <w:r>
        <w:rPr>
          <w:b/>
          <w:sz w:val="28"/>
          <w:szCs w:val="28"/>
          <w:shd w:val="clear" w:color="auto" w:fill="ffffff"/>
        </w:rPr>
        <w:t xml:space="preserve">13 сентября </w:t>
      </w:r>
      <w:r>
        <w:rPr>
          <w:b/>
          <w:sz w:val="28"/>
          <w:szCs w:val="28"/>
          <w:shd w:val="clear" w:color="auto" w:fill="ffffff"/>
        </w:rPr>
        <w:t xml:space="preserve">2024 </w:t>
      </w:r>
      <w:r>
        <w:rPr>
          <w:b/>
          <w:sz w:val="28"/>
          <w:szCs w:val="28"/>
          <w:shd w:val="clear" w:color="auto" w:fill="ffffff"/>
        </w:rPr>
        <w:t xml:space="preserve">г. </w:t>
      </w:r>
      <w:r>
        <w:rPr>
          <w:b/>
          <w:sz w:val="28"/>
          <w:szCs w:val="28"/>
          <w:shd w:val="clear" w:color="auto" w:fill="ffffff"/>
        </w:rPr>
        <w:t xml:space="preserve">с</w:t>
      </w:r>
      <w:r>
        <w:t xml:space="preserve"> </w:t>
      </w:r>
      <w:r>
        <w:rPr>
          <w:b/>
          <w:sz w:val="28"/>
          <w:szCs w:val="28"/>
          <w:shd w:val="clear" w:color="auto" w:fill="ffffff"/>
        </w:rPr>
        <w:t xml:space="preserve"> 08 час. 00 мин. (время московское)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0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  <w:shd w:val="clear" w:color="auto" w:fill="ffffff"/>
        </w:rPr>
        <w:t xml:space="preserve">окончание приема заявок:</w:t>
      </w:r>
      <w:r>
        <w:rPr>
          <w:b/>
          <w:sz w:val="28"/>
          <w:szCs w:val="28"/>
          <w:shd w:val="clear" w:color="auto" w:fill="ffffff"/>
        </w:rPr>
        <w:t xml:space="preserve"> </w:t>
      </w:r>
      <w:r>
        <w:rPr>
          <w:b/>
          <w:sz w:val="28"/>
          <w:szCs w:val="28"/>
          <w:shd w:val="clear" w:color="auto" w:fill="ffffff"/>
        </w:rPr>
        <w:t xml:space="preserve"> 10 октября </w:t>
      </w:r>
      <w:r>
        <w:rPr>
          <w:b/>
          <w:sz w:val="28"/>
          <w:szCs w:val="28"/>
          <w:shd w:val="clear" w:color="auto" w:fill="ffffff"/>
        </w:rPr>
        <w:t xml:space="preserve"> 2024 </w:t>
      </w:r>
      <w:r>
        <w:rPr>
          <w:b/>
          <w:sz w:val="28"/>
          <w:szCs w:val="28"/>
          <w:shd w:val="clear" w:color="auto" w:fill="ffffff"/>
        </w:rPr>
        <w:t xml:space="preserve">г. </w:t>
      </w:r>
      <w:r>
        <w:rPr>
          <w:b/>
          <w:sz w:val="28"/>
          <w:szCs w:val="28"/>
          <w:shd w:val="clear" w:color="auto" w:fill="ffffff"/>
        </w:rPr>
        <w:t xml:space="preserve">до 1</w:t>
      </w:r>
      <w:r>
        <w:rPr>
          <w:b/>
          <w:sz w:val="28"/>
          <w:szCs w:val="28"/>
          <w:shd w:val="clear" w:color="auto" w:fill="ffffff"/>
        </w:rPr>
        <w:t xml:space="preserve">6 час. 00 мин. (время московское)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0"/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  <w:u w:val="single"/>
          <w:shd w:val="clear" w:color="auto" w:fill="ffffff"/>
        </w:rPr>
        <w:t xml:space="preserve">рассмотрение заявок (определение участников):</w:t>
      </w:r>
      <w:r>
        <w:rPr>
          <w:b/>
          <w:sz w:val="28"/>
          <w:szCs w:val="28"/>
          <w:shd w:val="clear" w:color="auto" w:fill="ffffff"/>
        </w:rPr>
        <w:t xml:space="preserve">  </w:t>
      </w:r>
      <w:r>
        <w:rPr>
          <w:b/>
          <w:sz w:val="28"/>
          <w:szCs w:val="28"/>
          <w:shd w:val="clear" w:color="auto" w:fill="ffffff"/>
        </w:rPr>
        <w:t xml:space="preserve">11 октября</w:t>
      </w:r>
      <w:r>
        <w:rPr>
          <w:b/>
          <w:sz w:val="28"/>
          <w:szCs w:val="28"/>
          <w:shd w:val="clear" w:color="auto" w:fill="ffffff"/>
        </w:rPr>
        <w:t xml:space="preserve"> 2024</w:t>
      </w:r>
      <w:r>
        <w:rPr>
          <w:b/>
          <w:sz w:val="28"/>
          <w:szCs w:val="28"/>
          <w:shd w:val="clear" w:color="auto" w:fill="ffffff"/>
        </w:rPr>
        <w:t xml:space="preserve"> г.</w:t>
      </w:r>
      <w:r>
        <w:rPr>
          <w:b/>
          <w:sz w:val="28"/>
          <w:szCs w:val="28"/>
          <w:shd w:val="clear" w:color="auto" w:fill="ffffff"/>
        </w:rPr>
        <w:t xml:space="preserve"> 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Bdr/>
        <w:spacing/>
        <w:ind w:firstLine="0"/>
        <w:jc w:val="both"/>
        <w:rPr>
          <w:sz w:val="28"/>
          <w:szCs w:val="28"/>
        </w:rPr>
      </w:pPr>
      <w:r>
        <w:rPr>
          <w:b/>
          <w:sz w:val="28"/>
          <w:szCs w:val="28"/>
          <w:shd w:val="clear" w:color="auto" w:fill="ffffff"/>
        </w:rPr>
      </w:r>
      <w:r>
        <w:rPr>
          <w:b/>
          <w:bCs/>
          <w:sz w:val="28"/>
          <w:szCs w:val="28"/>
        </w:rPr>
        <w:t xml:space="preserve">аукцион</w:t>
      </w:r>
      <w:r>
        <w:rPr>
          <w:sz w:val="28"/>
          <w:szCs w:val="28"/>
        </w:rPr>
        <w:t xml:space="preserve"> - </w:t>
      </w:r>
      <w:bookmarkStart w:id="0" w:name="Par2"/>
      <w:r>
        <w:rPr>
          <w:sz w:val="28"/>
          <w:szCs w:val="28"/>
        </w:rPr>
      </w:r>
      <w:bookmarkEnd w:id="0"/>
      <w:r>
        <w:rPr>
          <w:b/>
          <w:bCs/>
          <w:sz w:val="28"/>
          <w:szCs w:val="28"/>
        </w:rPr>
        <w:t xml:space="preserve">15  октября</w:t>
      </w:r>
      <w:r>
        <w:rPr>
          <w:b/>
          <w:bCs/>
          <w:sz w:val="28"/>
          <w:szCs w:val="28"/>
        </w:rPr>
        <w:t xml:space="preserve"> 2024</w:t>
      </w:r>
      <w:r>
        <w:rPr>
          <w:sz w:val="28"/>
          <w:szCs w:val="28"/>
        </w:rPr>
        <w:t xml:space="preserve"> г. в 1</w:t>
      </w:r>
      <w:r>
        <w:rPr>
          <w:sz w:val="28"/>
          <w:szCs w:val="28"/>
        </w:rPr>
        <w:t xml:space="preserve">0</w:t>
      </w:r>
      <w:r>
        <w:rPr>
          <w:sz w:val="28"/>
          <w:szCs w:val="28"/>
        </w:rPr>
        <w:t xml:space="preserve">-00 часов</w:t>
      </w:r>
      <w:r>
        <w:rPr>
          <w:sz w:val="28"/>
          <w:szCs w:val="28"/>
        </w:rPr>
        <w:t xml:space="preserve"> (время московское</w:t>
      </w:r>
      <w:r>
        <w:rPr>
          <w:sz w:val="28"/>
          <w:szCs w:val="28"/>
        </w:rPr>
        <w:t xml:space="preserve">)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0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9.  Форма заявки на участие в аукционе, порядок приема, адрес места приема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обеспечения доступа к участию в электронном аукционе Претендентам необходимо пройти процедуру регистрации на электронной торговой площадке</w:t>
      </w:r>
      <w:r>
        <w:rPr>
          <w:sz w:val="28"/>
          <w:szCs w:val="28"/>
        </w:rPr>
        <w:t xml:space="preserve"> (далее ЭТП) </w:t>
      </w:r>
      <w:r>
        <w:rPr>
          <w:sz w:val="28"/>
          <w:szCs w:val="28"/>
        </w:rPr>
        <w:t xml:space="preserve">ООО «РТС-тендер» </w:t>
      </w:r>
      <w:hyperlink r:id="rId17" w:tooltip="https://www.rts-tender.ru/" w:history="1">
        <w:r>
          <w:rPr>
            <w:rStyle w:val="934"/>
            <w:sz w:val="28"/>
            <w:szCs w:val="28"/>
          </w:rPr>
          <w:t xml:space="preserve">https://www.rts-tender.ru/</w:t>
        </w:r>
      </w:hyperlink>
      <w:r>
        <w:rPr>
          <w:sz w:val="28"/>
          <w:szCs w:val="28"/>
          <w:shd w:val="clear" w:color="auto" w:fill="ffffff"/>
        </w:rPr>
        <w:t xml:space="preserve">. Регистрация на </w:t>
      </w:r>
      <w:r>
        <w:rPr>
          <w:sz w:val="28"/>
          <w:szCs w:val="28"/>
          <w:shd w:val="clear" w:color="auto" w:fill="ffffff"/>
        </w:rPr>
        <w:t xml:space="preserve">ЭТП</w:t>
      </w:r>
      <w:r>
        <w:rPr>
          <w:sz w:val="28"/>
          <w:szCs w:val="28"/>
          <w:shd w:val="clear" w:color="auto" w:fill="ffffff"/>
        </w:rPr>
        <w:t xml:space="preserve"> осуществляется без взимания платы.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Регистрации на </w:t>
      </w:r>
      <w:r>
        <w:rPr>
          <w:sz w:val="28"/>
          <w:szCs w:val="28"/>
          <w:shd w:val="clear" w:color="auto" w:fill="ffffff"/>
        </w:rPr>
        <w:t xml:space="preserve">ЭТП</w:t>
      </w:r>
      <w:r>
        <w:rPr>
          <w:sz w:val="28"/>
          <w:szCs w:val="28"/>
          <w:shd w:val="clear" w:color="auto" w:fill="ffffff"/>
        </w:rPr>
        <w:t xml:space="preserve"> подлежат </w:t>
      </w:r>
      <w:r>
        <w:rPr>
          <w:sz w:val="28"/>
          <w:szCs w:val="28"/>
        </w:rPr>
        <w:t xml:space="preserve">Претенденты, ранее не зарегистрированные на </w:t>
      </w:r>
      <w:r>
        <w:rPr>
          <w:sz w:val="28"/>
          <w:szCs w:val="28"/>
        </w:rPr>
        <w:t xml:space="preserve">ЭТП</w:t>
      </w:r>
      <w:r>
        <w:rPr>
          <w:sz w:val="28"/>
          <w:szCs w:val="28"/>
        </w:rPr>
        <w:t xml:space="preserve"> или регистрация которых на </w:t>
      </w:r>
      <w:r>
        <w:rPr>
          <w:sz w:val="28"/>
          <w:szCs w:val="28"/>
        </w:rPr>
        <w:t xml:space="preserve">ЭТП</w:t>
      </w:r>
      <w:r>
        <w:rPr>
          <w:sz w:val="28"/>
          <w:szCs w:val="28"/>
        </w:rPr>
        <w:t xml:space="preserve"> была ими прекращена. Регистрация на </w:t>
      </w:r>
      <w:r>
        <w:rPr>
          <w:sz w:val="28"/>
          <w:szCs w:val="28"/>
        </w:rPr>
        <w:t xml:space="preserve">ЭТП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shd w:val="clear" w:color="auto" w:fill="ffffff"/>
        </w:rPr>
        <w:t xml:space="preserve">проводится в соответствии с Регламентом </w:t>
      </w:r>
      <w:r>
        <w:rPr>
          <w:sz w:val="28"/>
          <w:szCs w:val="28"/>
          <w:shd w:val="clear" w:color="auto" w:fill="ffffff"/>
        </w:rPr>
        <w:t xml:space="preserve">ЭТП</w:t>
      </w:r>
      <w:r>
        <w:rPr>
          <w:sz w:val="28"/>
          <w:szCs w:val="28"/>
          <w:shd w:val="clear" w:color="auto" w:fill="ffffff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540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Оператор электронной площадки вправе в соответствии с </w:t>
      </w:r>
      <w:hyperlink r:id="rId18" w:tooltip="consultantplus://offline/ref=66C80AC672F060AF61B291B7A77E40AF1A03A3E766663D715292C8146D5784480EF3DBA957725202A325F56DC080846393774DA8E5232094rFu2E" w:history="1">
        <w:r>
          <w:rPr>
            <w:rStyle w:val="934"/>
            <w:sz w:val="28"/>
            <w:szCs w:val="28"/>
            <w:shd w:val="clear" w:color="auto" w:fill="ffffff"/>
          </w:rPr>
          <w:t xml:space="preserve">Правилами</w:t>
        </w:r>
      </w:hyperlink>
      <w:r>
        <w:rPr>
          <w:sz w:val="28"/>
          <w:szCs w:val="28"/>
          <w:shd w:val="clear" w:color="auto" w:fill="ffffff"/>
        </w:rPr>
        <w:t xml:space="preserve">, утвержденными постановлением Правительства РФ от 10.05.2018№ 564  "О взимании операторами электро</w:t>
      </w:r>
      <w:r>
        <w:rPr>
          <w:sz w:val="28"/>
          <w:szCs w:val="28"/>
          <w:shd w:val="clear" w:color="auto" w:fill="ffffff"/>
        </w:rPr>
        <w:t xml:space="preserve">нных площадок, операторами специализированных электронных площадок платы при проведении электронной процедуры, закрытой электронной процедуры и установлении ее предельных размеров", взимать с победителя аукциона или иного лица, с которыми в соответствии с </w:t>
      </w:r>
      <w:hyperlink r:id="rId19" w:tooltip="consultantplus://offline/ref=66C80AC672F060AF61B291B7A77E40AF1A04AAE76C6C3D715292C8146D5784480EF3DBAE5F7B5957F16AF43184D4976391774FABF9r2u2E" w:history="1">
        <w:r>
          <w:rPr>
            <w:rStyle w:val="934"/>
            <w:sz w:val="28"/>
            <w:szCs w:val="28"/>
            <w:shd w:val="clear" w:color="auto" w:fill="ffffff"/>
          </w:rPr>
          <w:t xml:space="preserve">пунктами 13</w:t>
        </w:r>
      </w:hyperlink>
      <w:r>
        <w:rPr>
          <w:sz w:val="28"/>
          <w:szCs w:val="28"/>
          <w:shd w:val="clear" w:color="auto" w:fill="ffffff"/>
        </w:rPr>
        <w:t xml:space="preserve">, </w:t>
      </w:r>
      <w:hyperlink r:id="rId20" w:tooltip="consultantplus://offline/ref=66C80AC672F060AF61B291B7A77E40AF1A04AAE76C6C3D715292C8146D5784480EF3DBAE5E725957F16AF43184D4976391774FABF9r2u2E" w:history="1">
        <w:r>
          <w:rPr>
            <w:rStyle w:val="934"/>
            <w:sz w:val="28"/>
            <w:szCs w:val="28"/>
            <w:shd w:val="clear" w:color="auto" w:fill="ffffff"/>
          </w:rPr>
          <w:t xml:space="preserve">14</w:t>
        </w:r>
      </w:hyperlink>
      <w:r>
        <w:rPr>
          <w:sz w:val="28"/>
          <w:szCs w:val="28"/>
          <w:shd w:val="clear" w:color="auto" w:fill="ffffff"/>
        </w:rPr>
        <w:t xml:space="preserve">, </w:t>
      </w:r>
      <w:hyperlink r:id="rId21" w:tooltip="consultantplus://offline/ref=66C80AC672F060AF61B291B7A77E40AF1A04AAE76C6C3D715292C8146D5784480EF3DBAF57705957F16AF43184D4976391774FABF9r2u2E" w:history="1">
        <w:r>
          <w:rPr>
            <w:rStyle w:val="934"/>
            <w:sz w:val="28"/>
            <w:szCs w:val="28"/>
            <w:shd w:val="clear" w:color="auto" w:fill="ffffff"/>
          </w:rPr>
          <w:t xml:space="preserve">20</w:t>
        </w:r>
      </w:hyperlink>
      <w:r>
        <w:rPr>
          <w:sz w:val="28"/>
          <w:szCs w:val="28"/>
          <w:shd w:val="clear" w:color="auto" w:fill="ffffff"/>
        </w:rPr>
        <w:t xml:space="preserve"> и </w:t>
      </w:r>
      <w:hyperlink r:id="rId22" w:tooltip="consultantplus://offline/ref=66C80AC672F060AF61B291B7A77E40AF1A04AAE76C6C3D715292C8146D5784480EF3DBA957735000A225F56DC080846393774DA8E5232094rFu2E" w:history="1">
        <w:r>
          <w:rPr>
            <w:rStyle w:val="934"/>
            <w:sz w:val="28"/>
            <w:szCs w:val="28"/>
            <w:shd w:val="clear" w:color="auto" w:fill="ffffff"/>
          </w:rPr>
          <w:t xml:space="preserve">25 статьи 39.12</w:t>
        </w:r>
      </w:hyperlink>
      <w:r>
        <w:rPr>
          <w:sz w:val="28"/>
          <w:szCs w:val="28"/>
          <w:shd w:val="clear" w:color="auto" w:fill="ffffff"/>
        </w:rPr>
        <w:t xml:space="preserve"> Земельного кодекса Российской Федерации заключается договор купли-продажи земельного участка плату за участие в аукционе</w:t>
      </w:r>
      <w:r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</w:rPr>
        <w:t xml:space="preserve">в размере, установленном регламентом оператора электронной площадки и иными документами, устанавливающие эти тарифы,</w:t>
      </w:r>
      <w:r>
        <w:rPr>
          <w:rFonts w:eastAsia="MS Mincho"/>
          <w:sz w:val="28"/>
          <w:szCs w:val="28"/>
        </w:rPr>
        <w:t xml:space="preserve"> размещенными </w:t>
      </w:r>
      <w:r>
        <w:rPr>
          <w:rFonts w:eastAsia="MS Mincho"/>
          <w:sz w:val="28"/>
          <w:szCs w:val="28"/>
        </w:rPr>
        <w:t xml:space="preserve">на электронной площадке </w:t>
      </w:r>
      <w:r>
        <w:rPr>
          <w:rFonts w:eastAsia="MS Mincho"/>
          <w:sz w:val="28"/>
          <w:szCs w:val="28"/>
        </w:rPr>
        <w:t xml:space="preserve">по адресу в информационно-телекоммуникационной сети «Интернет»: https://www.rts-tender.ru/tariffs/platformproperty-sales-tariffs</w:t>
      </w:r>
      <w:r>
        <w:rPr>
          <w:rFonts w:eastAsia="MS Mincho"/>
          <w:sz w:val="28"/>
          <w:szCs w:val="28"/>
        </w:rPr>
        <w:t xml:space="preserve">.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Заявка </w:t>
      </w:r>
      <w:r>
        <w:rPr>
          <w:sz w:val="28"/>
          <w:szCs w:val="28"/>
          <w:shd w:val="clear" w:color="auto" w:fill="ffffff"/>
        </w:rPr>
        <w:t xml:space="preserve">(приложение № 1 к извещению) на у</w:t>
      </w:r>
      <w:r>
        <w:rPr>
          <w:sz w:val="28"/>
          <w:szCs w:val="28"/>
        </w:rPr>
        <w:t xml:space="preserve">частие в аукционе подается путем заполнения ее электронной формы</w:t>
      </w:r>
      <w:r>
        <w:rPr>
          <w:sz w:val="28"/>
          <w:szCs w:val="28"/>
        </w:rPr>
        <w:t xml:space="preserve"> с указанием банковских реквизитов счета для возврата задатка и направляется оператору электронной площадки в форме электронного документа с приложением документов, указанных в подпунктах 2 - 4 пунк</w:t>
      </w:r>
      <w:r>
        <w:rPr>
          <w:sz w:val="28"/>
          <w:szCs w:val="28"/>
        </w:rPr>
        <w:t xml:space="preserve">та 1 </w:t>
      </w:r>
      <w:r>
        <w:rPr>
          <w:sz w:val="28"/>
          <w:szCs w:val="28"/>
        </w:rPr>
        <w:t xml:space="preserve">статьи 39.12 ЗК РФ. Заявка на участие в электронном аукционе, а также прилагаемые к ней документы подписываются усиленной квалифицированной электронной подписью заявителя.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  <w:highlight w:val="none"/>
        </w:rPr>
      </w:pPr>
      <w:r>
        <w:rPr>
          <w:b/>
          <w:sz w:val="28"/>
          <w:szCs w:val="28"/>
        </w:rPr>
        <w:t xml:space="preserve">Для участия в аукционе заявитель должен представить следующие документы: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Заявку на участие в аукционе по установленной в извещении о проведении </w:t>
      </w:r>
      <w:r>
        <w:rPr>
          <w:sz w:val="28"/>
          <w:szCs w:val="28"/>
        </w:rPr>
        <w:t xml:space="preserve">электронного </w:t>
      </w:r>
      <w:r>
        <w:rPr>
          <w:sz w:val="28"/>
          <w:szCs w:val="28"/>
        </w:rPr>
        <w:t xml:space="preserve">аукциона форме с указанием банковских реквизитов счета для возврата задатка.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2. Копии документов, удостоверяющих личность заявителя 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after="120" w:before="120"/>
        <w:ind w:right="120" w:firstLine="0" w:left="120"/>
        <w:rPr/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       3.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</w:t>
      </w:r>
      <w:r>
        <w:rPr>
          <w:sz w:val="28"/>
          <w:szCs w:val="28"/>
        </w:rPr>
      </w:r>
      <w:r/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Документы, подтверждающие внесение задатка (квитанция об уплате, либо платежное поручение).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случае, если от имени Претендента действует его представитель по доверенности, к заявке должна быть приложена </w:t>
      </w:r>
      <w:r>
        <w:rPr>
          <w:sz w:val="28"/>
          <w:szCs w:val="28"/>
        </w:rPr>
        <w:t xml:space="preserve">нотариально заверенная копия </w:t>
      </w:r>
      <w:r>
        <w:rPr>
          <w:sz w:val="28"/>
          <w:szCs w:val="28"/>
        </w:rPr>
        <w:t xml:space="preserve">доверенност</w:t>
      </w:r>
      <w:r>
        <w:rPr>
          <w:sz w:val="28"/>
          <w:szCs w:val="28"/>
        </w:rPr>
        <w:t xml:space="preserve">и</w:t>
      </w:r>
      <w:r>
        <w:rPr>
          <w:sz w:val="28"/>
          <w:szCs w:val="28"/>
        </w:rPr>
        <w:t xml:space="preserve"> на осуществление действий от имени Претендента, оформленная в установленном порядке.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 xml:space="preserve">Заявки подаются на электронную площадку, начиная с даты и времени начала приема заявок до времени и даты окончания приема заявок, указанных в настоящем извещении.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приеме заявок от Претендентов Оператор обеспечивает конфиденциальность данных о Претендентах и участниках, за исключением случая направления электронных документов Организатору, регистрацию заявок и прилагаемых к ним документов в журнале приема заявок.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Претендент вправе не позднее дня окончания приема заявок отозвать заявку путем направления уведомления об отзыве заявки на электронную площадку.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отзыва Претендентом заявки в установленном порядке, уведомление об отзыве заявки вместе с заявкой в течение одного часа поступает в «личный кабинет» Организатора, о чем Претенденту направляется соответствующее уведомление.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Изменение заявки допускается только путем подачи Претендентом новой заявки в установленные в информационном сообщении сроки о проведении аукциона, при этом первоначальная заявка должна быть отозвана.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Заявка на участие в аукционе, поступившая по истечении срока приема заявок, не регистрируется программными средствами электронной торговой площадки.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Заявитель имеет право отозвать принятую организатором заявку на участие </w:t>
      </w:r>
      <w:r>
        <w:rPr>
          <w:sz w:val="28"/>
          <w:szCs w:val="28"/>
        </w:rPr>
        <w:br/>
        <w:t xml:space="preserve">в аукционе до дня окончания срока приема заявок.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10. Порядок внесения задатка участниками аукциона и возврата им задатка, реквизиты счёта для перечисления задатка: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0"/>
        <w:jc w:val="both"/>
        <w:rPr/>
      </w:pPr>
      <w:r>
        <w:rPr>
          <w:sz w:val="28"/>
          <w:szCs w:val="28"/>
        </w:rPr>
        <w:t xml:space="preserve">       Порядок внесения  и возврата задатка о</w:t>
      </w:r>
      <w:r>
        <w:rPr>
          <w:sz w:val="28"/>
          <w:szCs w:val="28"/>
        </w:rPr>
        <w:t xml:space="preserve">существляется в соответствии с условиями аукционной документации. </w:t>
      </w:r>
      <w:r>
        <w:rPr>
          <w:sz w:val="28"/>
          <w:szCs w:val="28"/>
        </w:rPr>
      </w:r>
      <w:r/>
    </w:p>
    <w:p>
      <w:pPr>
        <w:pStyle w:val="926"/>
        <w:pBdr/>
        <w:tabs>
          <w:tab w:val="left" w:leader="none" w:pos="4515"/>
        </w:tabs>
        <w:spacing/>
        <w:ind w:right="0" w:firstLine="0" w:left="0"/>
        <w:jc w:val="both"/>
        <w:rPr/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Для участия в аукционе заявитель вносит Задаток до подачи заявки на участие в аукционе. Задаток определен в размере 20% от начальной цены продажи, что составляет</w:t>
      </w:r>
      <w:r>
        <w:rPr>
          <w:rFonts w:eastAsia="Times New Roman" w:cs="Times New Roman"/>
          <w:b w:val="0"/>
          <w:bCs w:val="0"/>
          <w:sz w:val="28"/>
          <w:szCs w:val="28"/>
          <w:lang w:eastAsia="ar-SA"/>
        </w:rPr>
        <w:t xml:space="preserve">-</w:t>
      </w:r>
      <w:r>
        <w:rPr>
          <w:rFonts w:eastAsia="Times New Roman" w:cs="Times New Roman"/>
          <w:b w:val="0"/>
          <w:bCs w:val="0"/>
          <w:sz w:val="28"/>
          <w:szCs w:val="28"/>
          <w:lang w:eastAsia="ar-SA"/>
        </w:rPr>
      </w:r>
      <w:r>
        <w:rPr>
          <w:rFonts w:eastAsia="Times New Roman" w:cs="Times New Roman"/>
          <w:b w:val="0"/>
          <w:bCs w:val="0"/>
          <w:sz w:val="28"/>
          <w:szCs w:val="28"/>
          <w:lang w:eastAsia="ar-SA"/>
        </w:rPr>
        <w:t xml:space="preserve"> 12200 руб. 00 коп. (двенадцать тысяч двести рублей)</w:t>
      </w:r>
      <w:r/>
      <w:r>
        <w:rPr>
          <w:rFonts w:eastAsia="Times New Roman" w:cs="Times New Roman"/>
          <w:b w:val="0"/>
          <w:bCs w:val="0"/>
          <w:sz w:val="28"/>
          <w:szCs w:val="28"/>
          <w:lang w:eastAsia="ar-SA"/>
        </w:rPr>
        <w:t xml:space="preserve">, который  </w:t>
      </w:r>
      <w:r>
        <w:rPr>
          <w:sz w:val="28"/>
          <w:szCs w:val="28"/>
        </w:rPr>
        <w:t xml:space="preserve">вносится  по следующим реквизитам:</w:t>
      </w:r>
      <w:r/>
    </w:p>
    <w:p>
      <w:pPr>
        <w:pStyle w:val="926"/>
        <w:pBdr/>
        <w:tabs>
          <w:tab w:val="left" w:leader="none" w:pos="4515"/>
        </w:tabs>
        <w:spacing/>
        <w:ind w:right="0" w:firstLine="0" w:left="0"/>
        <w:jc w:val="both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Получатель: Комитет по финансам админис</w:t>
      </w:r>
      <w:r>
        <w:rPr>
          <w:sz w:val="28"/>
          <w:szCs w:val="28"/>
        </w:rPr>
        <w:t xml:space="preserve">трации Шарьинского муниципального района  (администрация Шарьинского муниципального района Костромской области л/с 05413008190), ИНН 4430001003, КПП 443001001, единый казначейский счет: № 40102810945370000034, казначейский счет: № 03232643346480004100, бан</w:t>
      </w:r>
      <w:r>
        <w:rPr>
          <w:sz w:val="28"/>
          <w:szCs w:val="28"/>
        </w:rPr>
        <w:t xml:space="preserve">к:  Отделение Кострома/ У</w:t>
      </w:r>
      <w:r>
        <w:rPr>
          <w:sz w:val="28"/>
          <w:szCs w:val="28"/>
        </w:rPr>
        <w:t xml:space="preserve">ФК по Костромской области, БИК: 0134691</w:t>
      </w:r>
      <w:r>
        <w:rPr>
          <w:sz w:val="28"/>
          <w:szCs w:val="28"/>
        </w:rPr>
        <w:t xml:space="preserve">26,  код бюджетной классификации 90111406013100000430, ОКТМО 34648000 в графе «Назначение платежа»  указать  «Задаток для участия в аукционе по продаже земельного участка с кадастровым номером 44:24:140101:996».  Задаток должен поступить на указанный счет </w:t>
      </w:r>
      <w:r>
        <w:rPr>
          <w:b w:val="0"/>
          <w:bCs w:val="0"/>
          <w:sz w:val="28"/>
          <w:szCs w:val="28"/>
        </w:rPr>
        <w:t xml:space="preserve">до  11 октября  2024 года</w:t>
      </w:r>
      <w:r>
        <w:rPr>
          <w:sz w:val="28"/>
          <w:szCs w:val="28"/>
        </w:rPr>
        <w:t xml:space="preserve">.  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Bdr/>
        <w:spacing/>
        <w:ind w:firstLine="0"/>
        <w:jc w:val="both"/>
        <w:rPr/>
      </w:pPr>
      <w:r>
        <w:rPr>
          <w:sz w:val="28"/>
          <w:szCs w:val="28"/>
        </w:rPr>
        <w:t xml:space="preserve"> Внесение задатка третьими лицами не допускается.</w:t>
      </w:r>
      <w:r>
        <w:rPr>
          <w:sz w:val="28"/>
          <w:szCs w:val="28"/>
        </w:rPr>
      </w:r>
      <w:r/>
    </w:p>
    <w:p>
      <w:pPr>
        <w:pStyle w:val="926"/>
        <w:pBdr/>
        <w:tabs>
          <w:tab w:val="left" w:leader="none" w:pos="4515"/>
        </w:tabs>
        <w:spacing/>
        <w:ind w:right="0" w:firstLine="0" w:left="0"/>
        <w:jc w:val="both"/>
        <w:rPr/>
      </w:pPr>
      <w:r>
        <w:rPr>
          <w:rFonts w:eastAsia="Times New Roman" w:cs="Times New Roman"/>
          <w:sz w:val="28"/>
          <w:szCs w:val="28"/>
          <w:lang w:eastAsia="ar-SA"/>
        </w:rPr>
        <w:t xml:space="preserve">Задаток засчитывается в счет оплаты цены за земельный участок в случаях, если:</w:t>
      </w:r>
      <w:r>
        <w:rPr>
          <w:rFonts w:eastAsia="Times New Roman" w:cs="Times New Roman"/>
          <w:sz w:val="28"/>
          <w:szCs w:val="28"/>
          <w:lang w:eastAsia="ar-SA"/>
        </w:rPr>
      </w:r>
      <w:r/>
    </w:p>
    <w:p>
      <w:pPr>
        <w:pStyle w:val="926"/>
        <w:pBdr/>
        <w:tabs>
          <w:tab w:val="left" w:leader="none" w:pos="4515"/>
        </w:tabs>
        <w:spacing/>
        <w:ind w:right="0" w:firstLine="0" w:left="0"/>
        <w:jc w:val="both"/>
        <w:rPr/>
      </w:pPr>
      <w:r>
        <w:rPr>
          <w:rFonts w:eastAsia="Times New Roman" w:cs="Times New Roman"/>
          <w:sz w:val="28"/>
          <w:szCs w:val="28"/>
          <w:lang w:eastAsia="ar-SA"/>
        </w:rPr>
        <w:t xml:space="preserve">-задаток внесен лицом, признанным победителем аукциона; </w:t>
      </w:r>
      <w:r>
        <w:rPr>
          <w:rFonts w:eastAsia="Times New Roman" w:cs="Times New Roman"/>
          <w:sz w:val="28"/>
          <w:szCs w:val="28"/>
          <w:lang w:eastAsia="ar-SA"/>
        </w:rPr>
      </w:r>
      <w:r/>
    </w:p>
    <w:p>
      <w:pPr>
        <w:pStyle w:val="926"/>
        <w:pBdr/>
        <w:tabs>
          <w:tab w:val="left" w:leader="none" w:pos="4515"/>
        </w:tabs>
        <w:spacing/>
        <w:ind w:right="0" w:firstLine="0" w:left="0"/>
        <w:jc w:val="both"/>
        <w:rPr/>
      </w:pPr>
      <w:r>
        <w:rPr>
          <w:rFonts w:eastAsia="Times New Roman" w:cs="Times New Roman"/>
          <w:sz w:val="28"/>
          <w:szCs w:val="28"/>
          <w:lang w:eastAsia="ar-SA"/>
        </w:rPr>
        <w:t xml:space="preserve">задаток внесен лицом, признанным единственным участником аукциона, с которым договор купли-продажи заключается в соответствии с пунктами 13,14, статьи 39.12 Земельного кодекса Российской Федерации;</w:t>
      </w:r>
      <w:r>
        <w:rPr>
          <w:rFonts w:eastAsia="Times New Roman" w:cs="Times New Roman"/>
          <w:sz w:val="28"/>
          <w:szCs w:val="28"/>
          <w:lang w:eastAsia="ar-SA"/>
        </w:rPr>
      </w:r>
      <w:r/>
    </w:p>
    <w:p>
      <w:pPr>
        <w:pStyle w:val="926"/>
        <w:pBdr/>
        <w:tabs>
          <w:tab w:val="left" w:leader="none" w:pos="4515"/>
        </w:tabs>
        <w:spacing/>
        <w:ind w:right="0" w:firstLine="0" w:left="0"/>
        <w:jc w:val="both"/>
        <w:rPr/>
      </w:pPr>
      <w:r>
        <w:rPr>
          <w:rFonts w:eastAsia="Times New Roman" w:cs="Times New Roman"/>
          <w:sz w:val="28"/>
          <w:szCs w:val="28"/>
          <w:lang w:eastAsia="ar-SA"/>
        </w:rPr>
        <w:t xml:space="preserve">- за</w:t>
      </w:r>
      <w:r>
        <w:rPr>
          <w:rFonts w:eastAsia="Times New Roman" w:cs="Times New Roman"/>
          <w:sz w:val="28"/>
          <w:szCs w:val="28"/>
          <w:lang w:eastAsia="ar-SA"/>
        </w:rPr>
        <w:t xml:space="preserve">даток внесен лицом, признанным участником аукциона,  и данное лицо является единственным принявшим участие в аукционе участником, с которым договор купли-продажи заключается в соответствии с пунктом 20 статьи 39.12 Земельного кодекса Российской Федерации; </w:t>
      </w:r>
      <w:r>
        <w:rPr>
          <w:rFonts w:eastAsia="Times New Roman" w:cs="Times New Roman"/>
          <w:sz w:val="28"/>
          <w:szCs w:val="28"/>
          <w:lang w:eastAsia="ar-SA"/>
        </w:rPr>
      </w:r>
      <w:r/>
    </w:p>
    <w:p>
      <w:pPr>
        <w:pStyle w:val="926"/>
        <w:pBdr/>
        <w:tabs>
          <w:tab w:val="left" w:leader="none" w:pos="4515"/>
        </w:tabs>
        <w:spacing/>
        <w:ind w:right="0" w:firstLine="0" w:left="0"/>
        <w:jc w:val="both"/>
        <w:rPr/>
      </w:pPr>
      <w:r>
        <w:rPr>
          <w:rFonts w:eastAsia="Times New Roman" w:cs="Times New Roman"/>
          <w:sz w:val="28"/>
          <w:szCs w:val="28"/>
          <w:lang w:eastAsia="ar-SA"/>
        </w:rPr>
        <w:t xml:space="preserve">Задатки, внесенные этими лицами, не заключившими в установленном порядке договоры купли-продажи земельных участков вследствие уклонения от заключения указанных договоров, не возвращаются.</w:t>
      </w:r>
      <w:r>
        <w:rPr>
          <w:rFonts w:eastAsia="Times New Roman" w:cs="Times New Roman"/>
          <w:sz w:val="28"/>
          <w:szCs w:val="28"/>
          <w:lang w:eastAsia="ar-SA"/>
        </w:rPr>
      </w:r>
      <w:r/>
    </w:p>
    <w:p>
      <w:pPr>
        <w:pStyle w:val="926"/>
        <w:pBdr/>
        <w:tabs>
          <w:tab w:val="left" w:leader="none" w:pos="4515"/>
        </w:tabs>
        <w:spacing/>
        <w:ind w:right="0" w:firstLine="0" w:left="0"/>
        <w:jc w:val="both"/>
        <w:rPr/>
      </w:pPr>
      <w:r>
        <w:rPr>
          <w:rFonts w:eastAsia="Times New Roman" w:cs="Times New Roman"/>
          <w:sz w:val="28"/>
          <w:szCs w:val="28"/>
          <w:lang w:eastAsia="ar-SA"/>
        </w:rPr>
        <w:t xml:space="preserve">Организатор аукциона обязан возвратить внесенный заявителем задаток:</w:t>
      </w:r>
      <w:r>
        <w:rPr>
          <w:rFonts w:eastAsia="Times New Roman" w:cs="Times New Roman"/>
          <w:sz w:val="28"/>
          <w:szCs w:val="28"/>
          <w:lang w:eastAsia="ar-SA"/>
        </w:rPr>
      </w:r>
      <w:r/>
    </w:p>
    <w:p>
      <w:pPr>
        <w:pStyle w:val="926"/>
        <w:pBdr/>
        <w:tabs>
          <w:tab w:val="left" w:leader="none" w:pos="4515"/>
        </w:tabs>
        <w:spacing/>
        <w:ind w:right="0" w:firstLine="0" w:left="0"/>
        <w:jc w:val="both"/>
        <w:rPr/>
      </w:pPr>
      <w:r>
        <w:rPr>
          <w:rFonts w:eastAsia="Times New Roman" w:cs="Times New Roman"/>
          <w:sz w:val="28"/>
          <w:szCs w:val="28"/>
          <w:lang w:eastAsia="ar-SA"/>
        </w:rPr>
        <w:t xml:space="preserve">в течение 3 (трех) рабочих дней со дня оформления  протокола приема заявок на участие в аукционе в случае, если заявитель не допущен к участию в аукционе;</w:t>
      </w:r>
      <w:r>
        <w:rPr>
          <w:rFonts w:eastAsia="Times New Roman" w:cs="Times New Roman"/>
          <w:sz w:val="28"/>
          <w:szCs w:val="28"/>
          <w:lang w:eastAsia="ar-SA"/>
        </w:rPr>
      </w:r>
      <w:r/>
    </w:p>
    <w:p>
      <w:pPr>
        <w:pStyle w:val="926"/>
        <w:pBdr/>
        <w:tabs>
          <w:tab w:val="left" w:leader="none" w:pos="4515"/>
        </w:tabs>
        <w:spacing/>
        <w:ind w:right="0" w:firstLine="0" w:left="0"/>
        <w:jc w:val="both"/>
        <w:rPr/>
      </w:pPr>
      <w:r>
        <w:rPr>
          <w:rFonts w:eastAsia="Times New Roman" w:cs="Times New Roman"/>
          <w:sz w:val="28"/>
          <w:szCs w:val="28"/>
          <w:lang w:eastAsia="ar-SA"/>
        </w:rPr>
        <w:t xml:space="preserve">- в течение 3 (трех) рабочих дней со дня подписания протокола о результатах аукциона лицам, участвовавшим в аукционе, но не победившим в нем;</w:t>
      </w:r>
      <w:r>
        <w:rPr>
          <w:rFonts w:eastAsia="Times New Roman" w:cs="Times New Roman"/>
          <w:sz w:val="28"/>
          <w:szCs w:val="28"/>
          <w:lang w:eastAsia="ar-SA"/>
        </w:rPr>
      </w:r>
      <w:r/>
    </w:p>
    <w:p>
      <w:pPr>
        <w:pStyle w:val="926"/>
        <w:pBdr/>
        <w:tabs>
          <w:tab w:val="left" w:leader="none" w:pos="4515"/>
        </w:tabs>
        <w:spacing/>
        <w:ind w:right="0" w:firstLine="0" w:left="0"/>
        <w:jc w:val="both"/>
        <w:rPr>
          <w:rFonts w:eastAsia="Times New Roman" w:cs="Times New Roman"/>
          <w:lang w:eastAsia="ar-SA"/>
        </w:rPr>
      </w:pPr>
      <w:r>
        <w:rPr>
          <w:rFonts w:eastAsia="Times New Roman" w:cs="Times New Roman"/>
          <w:sz w:val="28"/>
          <w:szCs w:val="28"/>
          <w:lang w:eastAsia="ar-SA"/>
        </w:rPr>
        <w:t xml:space="preserve">- в течение 3 (трех) рабочих дней со дня регистрации уведомления об отзыве заявки в журнале приема заявок в случае отзыва заявителем заявки на участие в аукционе до признания его участником аукциона.</w:t>
      </w:r>
      <w:r>
        <w:rPr>
          <w:rFonts w:eastAsia="Times New Roman" w:cs="Times New Roman"/>
          <w:lang w:eastAsia="ar-SA"/>
        </w:rPr>
      </w:r>
      <w:r>
        <w:rPr>
          <w:rFonts w:eastAsia="Times New Roman" w:cs="Times New Roman"/>
          <w:lang w:eastAsia="ar-SA"/>
        </w:rPr>
      </w:r>
    </w:p>
    <w:p>
      <w:pPr>
        <w:pBdr/>
        <w:spacing/>
        <w:ind w:firstLine="0"/>
        <w:jc w:val="both"/>
        <w:rPr>
          <w:sz w:val="28"/>
          <w:szCs w:val="28"/>
          <w:highlight w:val="none"/>
        </w:rPr>
      </w:pPr>
      <w:r>
        <w:rPr>
          <w:b/>
          <w:bCs/>
          <w:sz w:val="28"/>
          <w:szCs w:val="28"/>
        </w:rPr>
        <w:t xml:space="preserve">11</w:t>
      </w:r>
      <w:r>
        <w:rPr>
          <w:sz w:val="28"/>
          <w:szCs w:val="28"/>
        </w:rPr>
        <w:t xml:space="preserve">. </w:t>
      </w:r>
      <w:r>
        <w:rPr>
          <w:b/>
          <w:sz w:val="28"/>
          <w:szCs w:val="28"/>
        </w:rPr>
        <w:t xml:space="preserve">   Порядок  Рассмотрения заявок :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Bdr/>
        <w:spacing/>
        <w:ind w:firstLine="0"/>
        <w:jc w:val="both"/>
        <w:rPr>
          <w:sz w:val="28"/>
          <w:szCs w:val="28"/>
        </w:rPr>
      </w:pPr>
      <w:r>
        <w:rPr>
          <w:sz w:val="28"/>
          <w:szCs w:val="28"/>
          <w:highlight w:val="none"/>
        </w:rPr>
        <w:t xml:space="preserve">      Рассмотрение заявок, принятие решения о допуске к участию в аукционе заявителей или об отказе в допуске, подписание Протокола рассмотрения заявок и  протокола о результатах аукциона осуществляется  аукционной комиссией.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contextualSpacing w:val="true"/>
        <w:jc w:val="both"/>
        <w:rPr/>
      </w:pPr>
      <w:r>
        <w:rPr>
          <w:sz w:val="28"/>
          <w:szCs w:val="28"/>
        </w:rPr>
        <w:t xml:space="preserve">Дата </w:t>
      </w:r>
      <w:r>
        <w:rPr>
          <w:sz w:val="28"/>
          <w:szCs w:val="28"/>
        </w:rPr>
        <w:t xml:space="preserve">определения участников электронного </w:t>
      </w:r>
      <w:r>
        <w:rPr>
          <w:sz w:val="28"/>
          <w:szCs w:val="28"/>
        </w:rPr>
        <w:br/>
      </w:r>
      <w:r>
        <w:rPr>
          <w:sz w:val="28"/>
          <w:szCs w:val="28"/>
        </w:rPr>
        <w:t xml:space="preserve">аукциона: 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11 октября </w:t>
      </w:r>
      <w:r>
        <w:rPr>
          <w:b/>
          <w:sz w:val="28"/>
          <w:szCs w:val="28"/>
        </w:rPr>
        <w:t xml:space="preserve">2024 года.</w:t>
      </w:r>
      <w:r>
        <w:t xml:space="preserve"> </w:t>
      </w:r>
      <w:r>
        <w:rPr>
          <w:sz w:val="28"/>
          <w:szCs w:val="28"/>
        </w:rPr>
        <w:t xml:space="preserve"> </w:t>
      </w:r>
      <w:r/>
    </w:p>
    <w:p>
      <w:pPr>
        <w:pBdr/>
        <w:spacing/>
        <w:ind w:firstLine="709"/>
        <w:jc w:val="both"/>
        <w:rPr/>
      </w:pPr>
      <w:r>
        <w:rPr>
          <w:sz w:val="28"/>
          <w:szCs w:val="28"/>
        </w:rPr>
        <w:t xml:space="preserve">В день определения участников аукциона, указанного в извещении о проведении аукциона по продаже </w:t>
      </w:r>
      <w:r>
        <w:rPr>
          <w:sz w:val="28"/>
          <w:szCs w:val="28"/>
        </w:rPr>
        <w:t xml:space="preserve">в собственность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земельных </w:t>
      </w:r>
      <w:r>
        <w:rPr>
          <w:sz w:val="28"/>
          <w:szCs w:val="28"/>
        </w:rPr>
        <w:t xml:space="preserve">участк</w:t>
      </w:r>
      <w:r>
        <w:rPr>
          <w:sz w:val="28"/>
          <w:szCs w:val="28"/>
        </w:rPr>
        <w:t xml:space="preserve">ов</w:t>
      </w:r>
      <w:r>
        <w:rPr>
          <w:sz w:val="28"/>
          <w:szCs w:val="28"/>
        </w:rPr>
        <w:t xml:space="preserve"> в электронной форме, Оператор электронной площадки  через «личный кабинет» Организатора обеспечивает доступ Организатора к поданным Претендентами заявкам и документам, а также к журналу приема заявок.</w:t>
      </w:r>
      <w:r/>
    </w:p>
    <w:p>
      <w:pPr>
        <w:pBdr/>
        <w:spacing/>
        <w:ind w:firstLine="709"/>
        <w:jc w:val="both"/>
        <w:rPr/>
      </w:pPr>
      <w:r>
        <w:rPr>
          <w:sz w:val="28"/>
          <w:szCs w:val="28"/>
        </w:rPr>
        <w:t xml:space="preserve">Аукционная комиссия в день рассмотрения заявок и документов от Претендентов подписывает протокол </w:t>
      </w:r>
      <w:r>
        <w:rPr>
          <w:sz w:val="28"/>
          <w:szCs w:val="28"/>
        </w:rPr>
        <w:t xml:space="preserve">рассмотрения заявок на участие в аукционе</w:t>
      </w:r>
      <w:r>
        <w:rPr>
          <w:sz w:val="28"/>
          <w:szCs w:val="28"/>
        </w:rPr>
        <w:t xml:space="preserve">,</w:t>
      </w:r>
      <w:r/>
    </w:p>
    <w:p>
      <w:pPr>
        <w:pBdr/>
        <w:spacing/>
        <w:ind w:firstLine="709"/>
        <w:jc w:val="both"/>
        <w:rPr/>
      </w:pPr>
      <w:r>
        <w:rPr>
          <w:sz w:val="28"/>
          <w:szCs w:val="28"/>
        </w:rPr>
        <w:t xml:space="preserve">Претендент приобретает статус участника аукциона с момента подписания протокола </w:t>
      </w:r>
      <w:r>
        <w:rPr>
          <w:sz w:val="28"/>
          <w:szCs w:val="28"/>
        </w:rPr>
        <w:t xml:space="preserve">рассмотрения заявок на участие в аукционе</w:t>
      </w:r>
      <w:r>
        <w:rPr>
          <w:sz w:val="28"/>
          <w:szCs w:val="28"/>
        </w:rPr>
        <w:t xml:space="preserve">.</w:t>
      </w:r>
      <w:r/>
    </w:p>
    <w:p>
      <w:pPr>
        <w:pBdr/>
        <w:spacing/>
        <w:ind w:firstLine="709"/>
        <w:contextualSpacing w:val="true"/>
        <w:jc w:val="both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Протокол рассмотрения заявок на участие в электронном аукционе подписывается не позднее чем в течение одного дня со дня их рассмотрения </w:t>
      </w:r>
      <w:r>
        <w:rPr>
          <w:sz w:val="28"/>
          <w:szCs w:val="28"/>
        </w:rPr>
        <w:br/>
        <w:t xml:space="preserve">и размещается на электронной площадке не позднее чем на следующий рабочий день после дня подписания протокола.  Данный протокол после размещения на электронной площадке в автоматическом режиме направляется оператором электрон</w:t>
      </w:r>
      <w:r>
        <w:rPr>
          <w:sz w:val="28"/>
          <w:szCs w:val="28"/>
        </w:rPr>
        <w:t xml:space="preserve">ной площадки для размещения</w:t>
      </w:r>
      <w:r>
        <w:t xml:space="preserve"> </w:t>
      </w:r>
      <w:r>
        <w:rPr>
          <w:sz w:val="28"/>
          <w:szCs w:val="28"/>
        </w:rPr>
        <w:t xml:space="preserve"> на официальном сайте Российской Федерации для  размещения информации о проведении торгов  </w:t>
      </w:r>
      <w:hyperlink r:id="rId23" w:tooltip="http://www.torgi.gov.ru/" w:history="1">
        <w:r>
          <w:rPr>
            <w:rStyle w:val="934"/>
            <w:sz w:val="28"/>
            <w:szCs w:val="28"/>
            <w:lang w:val="en-US" w:bidi="en-US"/>
          </w:rPr>
          <w:t xml:space="preserve">www</w:t>
        </w:r>
        <w:r>
          <w:rPr>
            <w:rStyle w:val="934"/>
            <w:sz w:val="28"/>
            <w:szCs w:val="28"/>
            <w:lang w:bidi="en-US"/>
          </w:rPr>
          <w:t xml:space="preserve">.</w:t>
        </w:r>
        <w:r>
          <w:rPr>
            <w:rStyle w:val="934"/>
            <w:sz w:val="28"/>
            <w:szCs w:val="28"/>
            <w:lang w:val="en-US" w:bidi="en-US"/>
          </w:rPr>
          <w:t xml:space="preserve">torgi</w:t>
        </w:r>
        <w:r>
          <w:rPr>
            <w:rStyle w:val="934"/>
            <w:sz w:val="28"/>
            <w:szCs w:val="28"/>
            <w:lang w:bidi="en-US"/>
          </w:rPr>
          <w:t xml:space="preserve">.</w:t>
        </w:r>
        <w:r>
          <w:rPr>
            <w:rStyle w:val="934"/>
            <w:sz w:val="28"/>
            <w:szCs w:val="28"/>
            <w:lang w:val="en-US" w:bidi="en-US"/>
          </w:rPr>
          <w:t xml:space="preserve">gov</w:t>
        </w:r>
        <w:r>
          <w:rPr>
            <w:rStyle w:val="934"/>
            <w:sz w:val="28"/>
            <w:szCs w:val="28"/>
            <w:lang w:bidi="en-US"/>
          </w:rPr>
          <w:t xml:space="preserve">.</w:t>
        </w:r>
        <w:r>
          <w:rPr>
            <w:rStyle w:val="934"/>
            <w:sz w:val="28"/>
            <w:szCs w:val="28"/>
            <w:lang w:val="en-US" w:bidi="en-US"/>
          </w:rPr>
          <w:t xml:space="preserve">ru</w:t>
        </w:r>
      </w:hyperlink>
      <w:r>
        <w:rPr>
          <w:sz w:val="28"/>
          <w:szCs w:val="28"/>
          <w:lang w:bidi="en-US"/>
        </w:rPr>
        <w:t xml:space="preserve">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Bdr/>
        <w:tabs>
          <w:tab w:val="left" w:leader="none" w:pos="851"/>
        </w:tabs>
        <w:spacing/>
        <w:ind w:firstLine="709"/>
        <w:jc w:val="both"/>
        <w:rPr/>
      </w:pPr>
      <w:r>
        <w:rPr>
          <w:sz w:val="28"/>
          <w:szCs w:val="28"/>
        </w:rPr>
        <w:t xml:space="preserve">Заявителям, признанным участниками электронного аукциона, </w:t>
      </w:r>
      <w:r>
        <w:rPr>
          <w:sz w:val="28"/>
          <w:szCs w:val="28"/>
        </w:rPr>
        <w:br/>
        <w:t xml:space="preserve">и заявителям, не допущенным к участию в электронном аукционе, оператор электронной площадки направляет в электронной форме уведомления </w:t>
      </w:r>
      <w:r>
        <w:rPr>
          <w:sz w:val="28"/>
          <w:szCs w:val="28"/>
        </w:rPr>
        <w:br/>
        <w:t xml:space="preserve">о принятых в отношении их решениях не позднее дня, следующего после дня подписания протокола.</w:t>
      </w:r>
      <w:r>
        <w:rPr>
          <w:b/>
          <w:bCs/>
        </w:rPr>
      </w:r>
      <w:r/>
    </w:p>
    <w:p>
      <w:pPr>
        <w:pBdr/>
        <w:spacing/>
        <w:ind w:firstLine="0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  <w:t xml:space="preserve">Заявитель не допускается к участию в аукционе аукционной Комиссией в следующих случаях</w:t>
      </w:r>
      <w:r>
        <w:rPr>
          <w:b w:val="0"/>
          <w:bCs w:val="0"/>
          <w:sz w:val="28"/>
          <w:szCs w:val="28"/>
        </w:rPr>
        <w:t xml:space="preserve">:</w:t>
      </w:r>
      <w:r>
        <w:rPr>
          <w:b w:val="0"/>
          <w:bCs w:val="0"/>
          <w:sz w:val="28"/>
          <w:szCs w:val="28"/>
        </w:rPr>
      </w:r>
      <w:r>
        <w:rPr>
          <w:b w:val="0"/>
          <w:bCs w:val="0"/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непредставление необходимых для участия в аукционе документов или представление недостоверных сведений;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непоступление задатка на </w:t>
      </w:r>
      <w:r>
        <w:rPr>
          <w:sz w:val="28"/>
          <w:szCs w:val="28"/>
          <w:shd w:val="clear" w:color="auto" w:fill="ffffff"/>
        </w:rPr>
        <w:t xml:space="preserve">дату рассмотрения заявок на участие в аукционе;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подача заявки на участие в аукционе лицом, которое в соответствии </w:t>
      </w:r>
      <w:r>
        <w:rPr>
          <w:sz w:val="28"/>
          <w:szCs w:val="28"/>
        </w:rPr>
        <w:br/>
        <w:t xml:space="preserve">с действующим законодательством РФ не имеет права быть участником конкретного аукциона, покупателем земельного участка;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наличие свед</w:t>
      </w:r>
      <w:r>
        <w:rPr>
          <w:sz w:val="28"/>
          <w:szCs w:val="28"/>
        </w:rPr>
        <w:t xml:space="preserve">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 реестре недобросовестных участников аукциона.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12 . Порядок проведения аукциона в электронной форме: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Процедура аукциона проводится на </w:t>
      </w:r>
      <w:r>
        <w:rPr>
          <w:sz w:val="28"/>
          <w:szCs w:val="28"/>
        </w:rPr>
        <w:t xml:space="preserve">электронной торговой площадке РТС-тендер (</w:t>
      </w:r>
      <w:hyperlink r:id="rId24" w:tooltip="http://www.rts-tender.ru" w:history="1">
        <w:r>
          <w:rPr>
            <w:sz w:val="28"/>
            <w:szCs w:val="28"/>
          </w:rPr>
          <w:t xml:space="preserve">www.rts-tender.ru</w:t>
        </w:r>
      </w:hyperlink>
      <w:r>
        <w:rPr>
          <w:sz w:val="28"/>
          <w:szCs w:val="28"/>
        </w:rPr>
        <w:t xml:space="preserve">)</w:t>
      </w:r>
      <w:r>
        <w:rPr>
          <w:rFonts w:eastAsia="Calibri"/>
          <w:sz w:val="28"/>
          <w:szCs w:val="28"/>
          <w:lang w:eastAsia="en-US"/>
        </w:rPr>
        <w:t xml:space="preserve"> в день и время, указанные в настоящем извещении о проведении аукциона, путем  подтверждения начальной цены аукциона, затем последовательного повышения участниками начальной цены продажи на величину, равную «шагу аукциона».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земельного участка.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Со времени начала проведения процедуры аукциона оператором электронной площадки размещается: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а) в открытой части электронной площадки - информация о начале проведения процедуры аукциона с указанием наименования земельного участка, начальной цены и текущего «шага аукциона»;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б) в закрытой части электронной площадки - помимо инф</w:t>
      </w:r>
      <w:r>
        <w:rPr>
          <w:rFonts w:eastAsia="Calibri"/>
          <w:sz w:val="28"/>
          <w:szCs w:val="28"/>
          <w:lang w:eastAsia="en-US"/>
        </w:rPr>
        <w:t xml:space="preserve">ормации, указанной в открытой части электронной площадки, также предложения о цене  земельного участка и время их поступления, величина повышения начальной цены («шаг аукциона»), время, оставшееся до окончания приема предложений о цене  земельного участка.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В течение одного часа со времени начала проведения процедуры аукциона участникам предлагается заявить о покупке земельного участка по начальной цене. В случае если в течение указанного времени: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а) поступило предложение о начальной цене земельного участка, то время для представления следующих предложений об увеличенной на «шаг аукциона» цене земельного участка продлевается на 10 минут со времени </w:t>
      </w:r>
      <w:r>
        <w:rPr>
          <w:rFonts w:eastAsia="Calibri"/>
          <w:sz w:val="28"/>
          <w:szCs w:val="28"/>
          <w:lang w:eastAsia="en-US"/>
        </w:rPr>
        <w:t xml:space="preserve">представления каждого следующего предложения. Если в течение 10 минут после представления последнего предложения о цене земельного участка следующее предложение не поступило, аукцион с помощью программно-аппаратных средств электронной площадки завершается;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б) не поступило ни одного предложения о начальной цене земельного участка,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</w:t>
      </w:r>
      <w:r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земельного участка является время завершения аукциона.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При этом программными средствами электронной площадки обеспечивается: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а) исключение возможности подачи участником предложения о цене земельного участка, не соответствующего увеличению текущей цены на величину «шага аукциона»;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б) уведомление участника в случае, если предложение этого участника о цене земельного участка не может быть принято в связи с подачей аналогичного предложения ранее другим участником.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Победителем аукциона признается участник, предложивший наибольшую цену </w:t>
      </w:r>
      <w:r>
        <w:rPr>
          <w:sz w:val="28"/>
          <w:szCs w:val="28"/>
        </w:rPr>
        <w:t xml:space="preserve">за</w:t>
      </w:r>
      <w:r>
        <w:rPr>
          <w:sz w:val="28"/>
          <w:szCs w:val="28"/>
        </w:rPr>
        <w:t xml:space="preserve"> земельн</w:t>
      </w:r>
      <w:r>
        <w:rPr>
          <w:sz w:val="28"/>
          <w:szCs w:val="28"/>
        </w:rPr>
        <w:t xml:space="preserve">ый</w:t>
      </w:r>
      <w:r>
        <w:rPr>
          <w:sz w:val="28"/>
          <w:szCs w:val="28"/>
        </w:rPr>
        <w:t xml:space="preserve"> участ</w:t>
      </w:r>
      <w:r>
        <w:rPr>
          <w:sz w:val="28"/>
          <w:szCs w:val="28"/>
        </w:rPr>
        <w:t xml:space="preserve">ок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Результаты аукциона рассматриваются аукционной комиссией и оформляются протоколом, который подписывается и </w:t>
      </w:r>
      <w:r>
        <w:rPr>
          <w:sz w:val="28"/>
          <w:szCs w:val="28"/>
        </w:rPr>
        <w:t xml:space="preserve">размещается в течение одного рабочего дня со дня подписания данного протокола на электронной площадке.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Процедура аукциона считается завершенной с момента подписания Организатором протокола о результатах аукциона.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Протокол об итогах аукциона в электронной форме является документом, удостоверяющим право победителя на заключение договора купли-продажи земельного участка.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Аукцион признается несостоявшимся в следующих случаях: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 окончании срока подачи заявок на участие в аукционе подана только одна заявка на участие в аукционе;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 окончании срока подачи заявок на участие в аукционе не подано ни одной заявки на участие в аукционе;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при проведении аукциона не поступило ни одного предложения</w:t>
      </w:r>
      <w:r>
        <w:rPr>
          <w:sz w:val="28"/>
          <w:szCs w:val="28"/>
        </w:rPr>
        <w:t xml:space="preserve">, предусматривающего бы  более высокую цену предмета аукциона, либо в аукционе участвовал  только один участник. 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0"/>
        <w:jc w:val="both"/>
        <w:rPr>
          <w:sz w:val="28"/>
          <w:szCs w:val="28"/>
        </w:rPr>
      </w:pPr>
      <w:r>
        <w:rPr>
          <w:rFonts w:eastAsia="Calibri"/>
          <w:b/>
          <w:sz w:val="28"/>
          <w:szCs w:val="28"/>
          <w:lang w:eastAsia="en-US"/>
        </w:rPr>
        <w:t xml:space="preserve">13.  Отмена и приостановление аукциона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426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Организатор вправе отменить аукцион не позднее, чем за 3 (три) дня до даты проведения аукциона.</w:t>
      </w:r>
      <w:r>
        <w:rPr>
          <w:rFonts w:eastAsia="Calibri"/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1. Решение об отмене аукциона размещается на официальном сайте Российской Федерации для размещения информации о проведении торгов </w:t>
      </w:r>
      <w:hyperlink r:id="rId25" w:tooltip="http://www.torgi.gov.ru/" w:history="1">
        <w:r>
          <w:rPr>
            <w:rStyle w:val="934"/>
            <w:rFonts w:eastAsia="Calibri"/>
            <w:sz w:val="28"/>
            <w:szCs w:val="28"/>
            <w:lang w:eastAsia="en-US"/>
          </w:rPr>
          <w:t xml:space="preserve">www.torgi.gov.ru</w:t>
        </w:r>
      </w:hyperlink>
      <w:r>
        <w:rPr>
          <w:rFonts w:eastAsia="Calibri"/>
          <w:sz w:val="28"/>
          <w:szCs w:val="28"/>
          <w:lang w:eastAsia="en-US"/>
        </w:rPr>
        <w:t xml:space="preserve">, на официальном сайте в открытой части </w:t>
      </w:r>
      <w:r>
        <w:rPr>
          <w:rFonts w:eastAsia="Calibri"/>
          <w:sz w:val="28"/>
          <w:szCs w:val="28"/>
          <w:lang w:eastAsia="en-US"/>
        </w:rPr>
        <w:t xml:space="preserve">ЭТП</w:t>
      </w:r>
      <w:r>
        <w:rPr>
          <w:rFonts w:eastAsia="Calibri"/>
          <w:sz w:val="28"/>
          <w:szCs w:val="28"/>
          <w:lang w:eastAsia="en-US"/>
        </w:rPr>
        <w:t xml:space="preserve"> </w:t>
      </w:r>
      <w:hyperlink r:id="rId26" w:tooltip="https://www.rts-tender.ru/" w:history="1">
        <w:r>
          <w:rPr>
            <w:rStyle w:val="934"/>
            <w:rFonts w:eastAsia="Calibri"/>
            <w:sz w:val="28"/>
            <w:szCs w:val="28"/>
            <w:lang w:val="en-US" w:eastAsia="en-US"/>
          </w:rPr>
          <w:t xml:space="preserve">https</w:t>
        </w:r>
        <w:r>
          <w:rPr>
            <w:rStyle w:val="934"/>
            <w:rFonts w:eastAsia="Calibri"/>
            <w:sz w:val="28"/>
            <w:szCs w:val="28"/>
            <w:lang w:eastAsia="en-US"/>
          </w:rPr>
          <w:t xml:space="preserve">://</w:t>
        </w:r>
        <w:r>
          <w:rPr>
            <w:rStyle w:val="934"/>
            <w:rFonts w:eastAsia="Calibri"/>
            <w:sz w:val="28"/>
            <w:szCs w:val="28"/>
            <w:lang w:val="en-US" w:eastAsia="en-US"/>
          </w:rPr>
          <w:t xml:space="preserve">www</w:t>
        </w:r>
        <w:r>
          <w:rPr>
            <w:rStyle w:val="934"/>
            <w:rFonts w:eastAsia="Calibri"/>
            <w:sz w:val="28"/>
            <w:szCs w:val="28"/>
            <w:lang w:eastAsia="en-US"/>
          </w:rPr>
          <w:t xml:space="preserve">.</w:t>
        </w:r>
        <w:r>
          <w:rPr>
            <w:rStyle w:val="934"/>
            <w:rFonts w:eastAsia="Calibri"/>
            <w:sz w:val="28"/>
            <w:szCs w:val="28"/>
            <w:lang w:val="en-US" w:eastAsia="en-US"/>
          </w:rPr>
          <w:t xml:space="preserve">rts</w:t>
        </w:r>
        <w:r>
          <w:rPr>
            <w:rStyle w:val="934"/>
            <w:rFonts w:eastAsia="Calibri"/>
            <w:sz w:val="28"/>
            <w:szCs w:val="28"/>
            <w:lang w:eastAsia="en-US"/>
          </w:rPr>
          <w:t xml:space="preserve">-</w:t>
        </w:r>
        <w:r>
          <w:rPr>
            <w:rStyle w:val="934"/>
            <w:rFonts w:eastAsia="Calibri"/>
            <w:sz w:val="28"/>
            <w:szCs w:val="28"/>
            <w:lang w:val="en-US" w:eastAsia="en-US"/>
          </w:rPr>
          <w:t xml:space="preserve">tender</w:t>
        </w:r>
        <w:r>
          <w:rPr>
            <w:rStyle w:val="934"/>
            <w:rFonts w:eastAsia="Calibri"/>
            <w:sz w:val="28"/>
            <w:szCs w:val="28"/>
            <w:lang w:eastAsia="en-US"/>
          </w:rPr>
          <w:t xml:space="preserve">.</w:t>
        </w:r>
        <w:r>
          <w:rPr>
            <w:rStyle w:val="934"/>
            <w:rFonts w:eastAsia="Calibri"/>
            <w:sz w:val="28"/>
            <w:szCs w:val="28"/>
            <w:lang w:val="en-US" w:eastAsia="en-US"/>
          </w:rPr>
          <w:t xml:space="preserve">ru</w:t>
        </w:r>
        <w:r>
          <w:rPr>
            <w:rStyle w:val="934"/>
            <w:rFonts w:eastAsia="Calibri"/>
            <w:sz w:val="28"/>
            <w:szCs w:val="28"/>
            <w:lang w:eastAsia="en-US"/>
          </w:rPr>
          <w:t xml:space="preserve">/</w:t>
        </w:r>
      </w:hyperlink>
      <w:r>
        <w:rPr>
          <w:rFonts w:eastAsia="Calibri"/>
          <w:sz w:val="28"/>
          <w:szCs w:val="28"/>
          <w:lang w:eastAsia="en-US"/>
        </w:rPr>
        <w:t xml:space="preserve"> в срок не позднее рабочего дня, следующего за днем принятия указанного решения.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67"/>
        <w:pBdr/>
        <w:tabs>
          <w:tab w:val="left" w:leader="none" w:pos="0"/>
          <w:tab w:val="left" w:leader="none" w:pos="708"/>
          <w:tab w:val="left" w:leader="none" w:pos="993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  <w:tab w:val="left" w:leader="none" w:pos="9912"/>
        </w:tabs>
        <w:spacing/>
        <w:ind w:firstLine="567"/>
        <w:rPr>
          <w:rFonts w:eastAsia="Calibri"/>
          <w:b w:val="0"/>
          <w:bCs/>
          <w:color w:val="000000"/>
          <w:sz w:val="28"/>
          <w:szCs w:val="28"/>
        </w:rPr>
      </w:pPr>
      <w:r>
        <w:rPr>
          <w:rFonts w:eastAsia="Calibri"/>
          <w:sz w:val="28"/>
          <w:szCs w:val="28"/>
          <w:lang w:val="ru-RU"/>
        </w:rPr>
        <w:t xml:space="preserve">  </w:t>
      </w:r>
      <w:r>
        <w:rPr>
          <w:rFonts w:eastAsia="Calibri"/>
          <w:b w:val="0"/>
          <w:bCs/>
          <w:sz w:val="28"/>
          <w:szCs w:val="28"/>
          <w:lang w:val="ru-RU"/>
        </w:rPr>
        <w:t xml:space="preserve">2</w:t>
      </w:r>
      <w:r>
        <w:rPr>
          <w:rFonts w:eastAsia="Calibri"/>
          <w:b w:val="0"/>
          <w:bCs/>
          <w:sz w:val="28"/>
          <w:szCs w:val="28"/>
          <w:lang w:val="ru-RU"/>
        </w:rPr>
        <w:t xml:space="preserve">.</w:t>
      </w:r>
      <w:r>
        <w:rPr>
          <w:rFonts w:eastAsia="Calibri"/>
          <w:sz w:val="28"/>
          <w:szCs w:val="28"/>
          <w:lang w:val="ru-RU"/>
        </w:rPr>
        <w:tab/>
      </w:r>
      <w:r>
        <w:rPr>
          <w:rFonts w:eastAsia="Calibri"/>
          <w:b w:val="0"/>
          <w:bCs/>
          <w:color w:val="000000"/>
          <w:sz w:val="28"/>
          <w:szCs w:val="28"/>
          <w:lang w:val="ru-RU"/>
        </w:rPr>
        <w:t xml:space="preserve">Электронная площадка извещает Претендентов об отказе Организатора от проведения аукциона не позднее следующего рабочего дня со дня принятия соответствующего решения путем направления указанного сообщения в «личный кабинет» Претендентов.</w:t>
      </w:r>
      <w:r>
        <w:rPr>
          <w:rFonts w:eastAsia="Calibri"/>
          <w:b w:val="0"/>
          <w:bCs/>
          <w:color w:val="000000"/>
          <w:sz w:val="28"/>
          <w:szCs w:val="28"/>
        </w:rPr>
      </w:r>
      <w:r>
        <w:rPr>
          <w:rFonts w:eastAsia="Calibri"/>
          <w:b w:val="0"/>
          <w:bCs/>
          <w:color w:val="000000"/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3.</w:t>
      </w:r>
      <w:r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Организатор приостанавливает проведение продажи </w:t>
      </w:r>
      <w:r>
        <w:rPr>
          <w:rFonts w:eastAsia="Calibri"/>
          <w:sz w:val="28"/>
          <w:szCs w:val="28"/>
          <w:lang w:eastAsia="en-US"/>
        </w:rPr>
        <w:t xml:space="preserve">в собственность </w:t>
      </w:r>
      <w:r>
        <w:rPr>
          <w:rFonts w:eastAsia="Calibri"/>
          <w:sz w:val="28"/>
          <w:szCs w:val="28"/>
          <w:lang w:eastAsia="en-US"/>
        </w:rPr>
        <w:t xml:space="preserve">земельного участка в случае технологического сбоя, зафиксированного программно-аппаратными средствами </w:t>
      </w:r>
      <w:r>
        <w:rPr>
          <w:rFonts w:eastAsia="Calibri"/>
          <w:sz w:val="28"/>
          <w:szCs w:val="28"/>
          <w:lang w:eastAsia="en-US"/>
        </w:rPr>
        <w:t xml:space="preserve">ЭТП</w:t>
      </w:r>
      <w:r>
        <w:rPr>
          <w:rFonts w:eastAsia="Calibri"/>
          <w:sz w:val="28"/>
          <w:szCs w:val="28"/>
          <w:lang w:eastAsia="en-US"/>
        </w:rPr>
        <w:t xml:space="preserve">, но не более чем на одни сутки. Возобновление проведения продажи </w:t>
      </w:r>
      <w:r>
        <w:rPr>
          <w:rFonts w:eastAsia="Calibri"/>
          <w:sz w:val="28"/>
          <w:szCs w:val="28"/>
          <w:lang w:eastAsia="en-US"/>
        </w:rPr>
        <w:t xml:space="preserve">в собственность</w:t>
      </w:r>
      <w:r>
        <w:rPr>
          <w:rFonts w:eastAsia="Calibri"/>
          <w:sz w:val="28"/>
          <w:szCs w:val="28"/>
          <w:lang w:eastAsia="en-US"/>
        </w:rPr>
        <w:t xml:space="preserve"> земельного участка начинается с того момента, на котором продажа </w:t>
      </w:r>
      <w:r>
        <w:rPr>
          <w:rFonts w:eastAsia="Calibri"/>
          <w:sz w:val="28"/>
          <w:szCs w:val="28"/>
          <w:lang w:eastAsia="en-US"/>
        </w:rPr>
        <w:t xml:space="preserve">предмета аукциона</w:t>
      </w:r>
      <w:r>
        <w:rPr>
          <w:rFonts w:eastAsia="Calibri"/>
          <w:sz w:val="28"/>
          <w:szCs w:val="28"/>
          <w:lang w:eastAsia="en-US"/>
        </w:rPr>
        <w:t xml:space="preserve"> была прервана.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В течение одного часа со времени приостановления проведения продажи </w:t>
      </w:r>
      <w:r>
        <w:rPr>
          <w:rFonts w:eastAsia="Calibri"/>
          <w:sz w:val="28"/>
          <w:szCs w:val="28"/>
          <w:lang w:eastAsia="en-US"/>
        </w:rPr>
        <w:t xml:space="preserve">в собственность </w:t>
      </w:r>
      <w:r>
        <w:rPr>
          <w:rFonts w:eastAsia="Calibri"/>
          <w:sz w:val="28"/>
          <w:szCs w:val="28"/>
          <w:lang w:eastAsia="en-US"/>
        </w:rPr>
        <w:t xml:space="preserve">земельного участка организатор размещает на </w:t>
      </w:r>
      <w:r>
        <w:rPr>
          <w:rFonts w:eastAsia="Calibri"/>
          <w:sz w:val="28"/>
          <w:szCs w:val="28"/>
          <w:lang w:eastAsia="en-US"/>
        </w:rPr>
        <w:t xml:space="preserve">ЭТП</w:t>
      </w:r>
      <w:r>
        <w:rPr>
          <w:rFonts w:eastAsia="Calibri"/>
          <w:sz w:val="28"/>
          <w:szCs w:val="28"/>
          <w:lang w:eastAsia="en-US"/>
        </w:rPr>
        <w:t xml:space="preserve"> информацию о причине приостановления продажи </w:t>
      </w:r>
      <w:r>
        <w:rPr>
          <w:rFonts w:eastAsia="Calibri"/>
          <w:sz w:val="28"/>
          <w:szCs w:val="28"/>
          <w:lang w:eastAsia="en-US"/>
        </w:rPr>
        <w:t xml:space="preserve">в собственность</w:t>
      </w:r>
      <w:r>
        <w:rPr>
          <w:rFonts w:eastAsia="Calibri"/>
          <w:sz w:val="28"/>
          <w:szCs w:val="28"/>
          <w:lang w:eastAsia="en-US"/>
        </w:rPr>
        <w:t xml:space="preserve"> земельного участка, времени приостановления и возобновления продажи </w:t>
      </w:r>
      <w:r>
        <w:rPr>
          <w:rFonts w:eastAsia="Calibri"/>
          <w:sz w:val="28"/>
          <w:szCs w:val="28"/>
          <w:lang w:eastAsia="en-US"/>
        </w:rPr>
        <w:t xml:space="preserve">в собственность </w:t>
      </w:r>
      <w:r>
        <w:rPr>
          <w:rFonts w:eastAsia="Calibri"/>
          <w:sz w:val="28"/>
          <w:szCs w:val="28"/>
          <w:lang w:eastAsia="en-US"/>
        </w:rPr>
        <w:t xml:space="preserve">земельного участка, уведомляет об этом участников, а также направляет указанную информацию организатору для внесения в протокол </w:t>
      </w:r>
      <w:r>
        <w:rPr>
          <w:rFonts w:eastAsia="Calibri"/>
          <w:sz w:val="28"/>
          <w:szCs w:val="28"/>
          <w:lang w:eastAsia="en-US"/>
        </w:rPr>
        <w:t xml:space="preserve">о результатах</w:t>
      </w:r>
      <w:r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аукциона по продаже в собственность </w:t>
      </w:r>
      <w:r>
        <w:rPr>
          <w:rFonts w:eastAsia="Calibri"/>
          <w:sz w:val="28"/>
          <w:szCs w:val="28"/>
          <w:lang w:eastAsia="en-US"/>
        </w:rPr>
        <w:t xml:space="preserve">земельного участка.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14.  Заключение договора купли-продажи земельного участка: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Договор купли-продажи земельного </w:t>
      </w:r>
      <w:r>
        <w:rPr>
          <w:sz w:val="28"/>
          <w:szCs w:val="28"/>
          <w:shd w:val="clear" w:color="auto" w:fill="ffffff"/>
        </w:rPr>
        <w:t xml:space="preserve">участка</w:t>
      </w:r>
      <w:r>
        <w:rPr>
          <w:sz w:val="28"/>
          <w:szCs w:val="28"/>
          <w:shd w:val="clear" w:color="auto" w:fill="ffffff"/>
        </w:rPr>
        <w:t xml:space="preserve"> с победителем аукциона заключается в установленном законодательством порядке не ранее чем через 10 </w:t>
      </w:r>
      <w:r>
        <w:rPr>
          <w:sz w:val="28"/>
          <w:szCs w:val="28"/>
          <w:shd w:val="clear" w:color="auto" w:fill="ffffff"/>
        </w:rPr>
        <w:t xml:space="preserve">(десять) </w:t>
      </w:r>
      <w:r>
        <w:rPr>
          <w:sz w:val="28"/>
          <w:szCs w:val="28"/>
          <w:shd w:val="clear" w:color="auto" w:fill="ffffff"/>
        </w:rPr>
        <w:t xml:space="preserve">дней </w:t>
      </w:r>
      <w:r>
        <w:rPr>
          <w:sz w:val="28"/>
          <w:szCs w:val="28"/>
          <w:shd w:val="clear" w:color="auto" w:fill="ffffff"/>
        </w:rPr>
        <w:t xml:space="preserve">и </w:t>
      </w:r>
      <w:r>
        <w:rPr>
          <w:bCs/>
          <w:sz w:val="28"/>
          <w:szCs w:val="28"/>
        </w:rPr>
        <w:t xml:space="preserve">не позднее 20 (двадцати) дней </w:t>
      </w:r>
      <w:r>
        <w:rPr>
          <w:sz w:val="28"/>
          <w:szCs w:val="28"/>
          <w:shd w:val="clear" w:color="auto" w:fill="ffffff"/>
        </w:rPr>
        <w:t xml:space="preserve">со дня размещения протокола о результатах электронного аукциона на официальном сайте Р</w:t>
      </w:r>
      <w:r>
        <w:rPr>
          <w:sz w:val="28"/>
          <w:szCs w:val="28"/>
        </w:rPr>
        <w:t xml:space="preserve">оссийской Федерации в сети «Интернет».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tabs>
          <w:tab w:val="center" w:leader="none" w:pos="5076"/>
        </w:tabs>
        <w:spacing/>
        <w:ind w:right="-1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>
        <w:rPr>
          <w:sz w:val="28"/>
          <w:szCs w:val="28"/>
        </w:rPr>
        <w:t xml:space="preserve"> Передача земельного участка осуществляется по акту приема-передачи, заключаемому в простой письменной форме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после зачисления денежных средств на расчетный счет Организатора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32"/>
        <w:pBdr/>
        <w:tabs>
          <w:tab w:val="left" w:leader="none" w:pos="0"/>
          <w:tab w:val="left" w:leader="none" w:pos="993"/>
          <w:tab w:val="left" w:leader="none" w:pos="1134"/>
        </w:tabs>
        <w:spacing/>
        <w:ind w:firstLine="426"/>
        <w:jc w:val="both"/>
        <w:rPr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</w:rPr>
        <w:t xml:space="preserve">При отказе или уклонении победителя аукциона от заключения в установленный срок договора купли-продажи земельного участка задаток ему не возвращается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Если договор купли-продаж</w:t>
      </w:r>
      <w:r>
        <w:rPr>
          <w:rFonts w:ascii="Times New Roman" w:hAnsi="Times New Roman"/>
          <w:sz w:val="28"/>
          <w:szCs w:val="28"/>
        </w:rPr>
        <w:t xml:space="preserve">и земельного участка не будет подписан победителем аукциона, возможно заключение договора купли-продажи земельного участка с участником аукциона, который сделал предпоследнее предложение о цене предмета аукциона, по цене, предложенной победителем аукциона.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Bdr/>
        <w:spacing/>
        <w:ind w:firstLine="709"/>
        <w:contextualSpacing w:val="true"/>
        <w:jc w:val="both"/>
        <w:rPr/>
      </w:pPr>
      <w:r>
        <w:rPr>
          <w:sz w:val="28"/>
          <w:szCs w:val="28"/>
        </w:rPr>
        <w:t xml:space="preserve">Нарушение срока подписания договора </w:t>
      </w:r>
      <w:r>
        <w:rPr>
          <w:sz w:val="28"/>
          <w:szCs w:val="28"/>
        </w:rPr>
        <w:t xml:space="preserve">купли-продажи</w:t>
      </w:r>
      <w:r>
        <w:rPr>
          <w:sz w:val="28"/>
          <w:szCs w:val="28"/>
        </w:rPr>
        <w:t xml:space="preserve"> земельного участка считается уклонением от исполнения обязательств. </w:t>
      </w:r>
      <w:r>
        <w:rPr>
          <w:sz w:val="28"/>
          <w:szCs w:val="28"/>
        </w:rPr>
      </w:r>
      <w:r/>
    </w:p>
    <w:p>
      <w:pPr>
        <w:pBdr/>
        <w:spacing/>
        <w:ind w:firstLine="709"/>
        <w:contextualSpacing w:val="true"/>
        <w:jc w:val="both"/>
        <w:rPr/>
      </w:pPr>
      <w:r>
        <w:rPr>
          <w:sz w:val="28"/>
          <w:szCs w:val="28"/>
        </w:rPr>
        <w:t xml:space="preserve">Сведения о победителе аукциона, уклонившемся от заключения договора </w:t>
      </w:r>
      <w:r>
        <w:rPr>
          <w:sz w:val="28"/>
          <w:szCs w:val="28"/>
        </w:rPr>
        <w:t xml:space="preserve">купли-продажи</w:t>
      </w:r>
      <w:r>
        <w:rPr>
          <w:sz w:val="28"/>
          <w:szCs w:val="28"/>
        </w:rPr>
        <w:t xml:space="preserve"> земельного участка, направляются  Управление Федеральной антимонопольной службы для включения в реестр недобросовестных участников аукциона, в соответствии с пунктом 27 статьи 39.12 ЗК РФ. </w:t>
      </w:r>
      <w:r>
        <w:rPr>
          <w:sz w:val="28"/>
          <w:szCs w:val="28"/>
        </w:rPr>
      </w:r>
      <w:r/>
    </w:p>
    <w:p>
      <w:pPr>
        <w:pBdr/>
        <w:spacing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Форма оплаты по договору купли-продажи - безналичная. Заявленная цена оплачивается единовременно в полном объеме по реквизитам: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72"/>
        <w:pBdr/>
        <w:spacing w:line="240" w:lineRule="auto"/>
        <w:ind w:right="0" w:firstLine="0" w:left="0"/>
        <w:rPr>
          <w:rFonts w:cs="Tahoma"/>
        </w:rPr>
      </w:pPr>
      <w:r>
        <w:rPr>
          <w:sz w:val="28"/>
          <w:szCs w:val="28"/>
        </w:rPr>
        <w:t xml:space="preserve"> Получатель платежа – </w:t>
      </w:r>
      <w:r>
        <w:rPr>
          <w:rStyle w:val="971"/>
          <w:rFonts w:eastAsia="Times New Roman" w:cs="Tahoma"/>
          <w:b w:val="0"/>
          <w:bCs w:val="0"/>
          <w:sz w:val="28"/>
          <w:szCs w:val="28"/>
          <w:u w:val="single"/>
        </w:rPr>
        <w:t xml:space="preserve">Получатель: УФК по Костромской области (Администрация Шарьинского муниципального района л/с 04413008190) Банк: ОТДЕЛЕНИЕ КОСТРОМА БАНКА РОССИИ//УФК ПО КОСТРОМСКОЙ ОБЛАСТИ г. Кострома Б</w:t>
      </w:r>
      <w:r>
        <w:rPr>
          <w:rStyle w:val="971"/>
          <w:rFonts w:eastAsia="Times New Roman" w:cs="Tahoma"/>
          <w:b w:val="0"/>
          <w:bCs w:val="0"/>
          <w:sz w:val="28"/>
          <w:szCs w:val="28"/>
          <w:u w:val="single"/>
        </w:rPr>
        <w:t xml:space="preserve">ИК 013469126 Единый казначейский счет 40102810</w:t>
      </w:r>
      <w:r>
        <w:rPr>
          <w:rStyle w:val="971"/>
          <w:rFonts w:eastAsia="Times New Roman" w:cs="Tahoma"/>
          <w:b w:val="0"/>
          <w:bCs w:val="0"/>
          <w:sz w:val="28"/>
          <w:szCs w:val="28"/>
          <w:u w:val="single"/>
        </w:rPr>
        <w:t xml:space="preserve">945370000034  Казначейский счет 03100643000000014100, ИНН 4430001003, КПП 443001001, ОКТМО 34648410  код бюджетной классификации 901 114 06013 05 0000 430, назначение платежа: купля- продажа земельного участка.</w:t>
      </w:r>
      <w:r>
        <w:rPr>
          <w:rFonts w:cs="Tahoma"/>
        </w:rPr>
      </w:r>
      <w:r>
        <w:rPr>
          <w:rFonts w:cs="Tahoma"/>
        </w:rPr>
      </w:r>
    </w:p>
    <w:p>
      <w:pPr>
        <w:pStyle w:val="933"/>
        <w:pBdr/>
        <w:tabs>
          <w:tab w:val="num" w:leader="none" w:pos="0"/>
        </w:tabs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 Сумма заявленной выкупной цены земельного участка не облагается НДС. Оплата заявленной выкупной цены земельного участка третьими лицами не допускается.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0"/>
        <w:jc w:val="both"/>
        <w:rPr>
          <w:sz w:val="28"/>
          <w:szCs w:val="28"/>
          <w:highlight w:val="none"/>
        </w:rPr>
      </w:pPr>
      <w:r>
        <w:rPr>
          <w:b/>
          <w:bCs/>
          <w:sz w:val="28"/>
          <w:szCs w:val="28"/>
        </w:rPr>
        <w:t xml:space="preserve">15.</w:t>
      </w:r>
      <w:r>
        <w:rPr>
          <w:sz w:val="28"/>
          <w:szCs w:val="28"/>
        </w:rPr>
        <w:t xml:space="preserve"> Дополнительно ознакомиться с формой заявки, проектом договора купли-продажи земельного участка, </w:t>
      </w:r>
      <w:r>
        <w:rPr>
          <w:sz w:val="28"/>
          <w:szCs w:val="28"/>
        </w:rPr>
        <w:t xml:space="preserve"> а также иными дополнительными сведениями можно</w:t>
      </w:r>
      <w:r>
        <w:rPr>
          <w:sz w:val="28"/>
          <w:szCs w:val="28"/>
        </w:rPr>
        <w:t xml:space="preserve"> в комитете по управлению муниципальным имуществом и земельными ресурс</w:t>
      </w:r>
      <w:r>
        <w:rPr>
          <w:sz w:val="28"/>
          <w:szCs w:val="28"/>
        </w:rPr>
        <w:t xml:space="preserve">ами администрации Шарьинского муниципального района (Костромская область, г. Шарья, ул. П.Морозова, д. 20, кабинет 2, телефон 8 (49449) 5-03-40,</w:t>
      </w:r>
      <w:r>
        <w:rPr>
          <w:sz w:val="28"/>
          <w:szCs w:val="28"/>
        </w:rPr>
        <w:t xml:space="preserve"> часы работы  08.00 -17.00, перерыв на обед  с 12.00-13.00.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Bdr/>
        <w:spacing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  <w:t xml:space="preserve">Глава Шарьинского муниципального района                                               Н.С.Глушаков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0"/>
        <w:jc w:val="both"/>
        <w:rPr>
          <w:sz w:val="20"/>
          <w:szCs w:val="20"/>
          <w:highlight w:val="none"/>
        </w:rPr>
      </w:pPr>
      <w:r>
        <w:rPr>
          <w:sz w:val="20"/>
          <w:szCs w:val="20"/>
          <w:highlight w:val="none"/>
        </w:rPr>
        <w:t xml:space="preserve">Исполнитель: Чихалева Л.А. ____________</w:t>
      </w:r>
      <w:r>
        <w:rPr>
          <w:sz w:val="20"/>
          <w:szCs w:val="20"/>
          <w:highlight w:val="none"/>
        </w:rPr>
      </w:r>
      <w:r>
        <w:rPr>
          <w:sz w:val="20"/>
          <w:szCs w:val="20"/>
          <w:highlight w:val="none"/>
        </w:rPr>
      </w:r>
    </w:p>
    <w:p>
      <w:pPr>
        <w:pBdr/>
        <w:spacing/>
        <w:ind w:firstLine="0"/>
        <w:jc w:val="both"/>
        <w:rPr>
          <w:sz w:val="28"/>
          <w:szCs w:val="28"/>
        </w:rPr>
      </w:pPr>
      <w:r>
        <w:rPr>
          <w:sz w:val="20"/>
          <w:szCs w:val="20"/>
          <w:highlight w:val="none"/>
        </w:rPr>
        <w:t xml:space="preserve">Согласовано: зав. юридическим отделом Ширяева Е.С._____________</w:t>
      </w:r>
      <w:r>
        <w:rPr>
          <w:sz w:val="28"/>
          <w:szCs w:val="28"/>
        </w:rPr>
      </w:r>
      <w:r>
        <w:rPr>
          <w:sz w:val="28"/>
          <w:szCs w:val="28"/>
        </w:rPr>
      </w:r>
    </w:p>
    <w:sectPr>
      <w:footnotePr/>
      <w:endnotePr/>
      <w:type w:val="nextPage"/>
      <w:pgSz w:h="16838" w:orient="portrait" w:w="11906"/>
      <w:pgMar w:top="426" w:right="566" w:bottom="426" w:left="851" w:header="720" w:footer="72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Andale Sans UI">
    <w:panose1 w:val="02000603000000000000"/>
  </w:font>
  <w:font w:name="Times New Roman">
    <w:panose1 w:val="02020603050405020304"/>
  </w:font>
  <w:font w:name="MS Mincho">
    <w:panose1 w:val="02020503050405090304"/>
  </w:font>
  <w:font w:name="Tahoma">
    <w:panose1 w:val="020B0604030504040204"/>
  </w:font>
  <w:font w:name="OpenSymbol">
    <w:panose1 w:val="05010000000000000000"/>
  </w:font>
  <w:font w:name="Courier New">
    <w:panose1 w:val="02070309020205020404"/>
  </w:font>
  <w:font w:name="Calibri">
    <w:panose1 w:val="020F0502020204030204"/>
  </w:font>
  <w:font w:name="Calibri Light">
    <w:panose1 w:val="020F030202020403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-"/>
      <w:numFmt w:val="bullet"/>
      <w:pPr>
        <w:pBdr/>
        <w:tabs>
          <w:tab w:val="num" w:leader="none" w:pos="360"/>
        </w:tabs>
        <w:spacing/>
        <w:ind w:hanging="360" w:left="360"/>
      </w:pPr>
      <w:rPr>
        <w:rFonts w:hint="default"/>
      </w:rPr>
      <w:start w:val="2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60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80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20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40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80"/>
      </w:pPr>
      <w:rPr>
        <w:rFonts w:hint="default" w:ascii="Wingdings" w:hAnsi="Wingdings" w:eastAsia="Wingdings" w:cs="Wingdings"/>
      </w:rPr>
      <w:start w:val="1"/>
      <w:suff w:val="tab"/>
    </w:lvl>
  </w:abstractNum>
  <w:abstractNum w:abstractNumId="1">
    <w:lvl w:ilvl="0">
      <w:isLgl w:val="false"/>
      <w:lvlJc w:val="left"/>
      <w:lvlText w:val="−"/>
      <w:numFmt w:val="bullet"/>
      <w:pPr>
        <w:pBdr/>
        <w:spacing/>
        <w:ind w:hanging="360" w:left="436"/>
      </w:pPr>
      <w:rPr>
        <w:rFonts w:hint="default" w:ascii="Times New Roman" w:hAnsi="Times New Roman" w:cs="Times New Roman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156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1876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596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316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036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4756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476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196"/>
      </w:pPr>
      <w:rPr>
        <w:rFonts w:hint="default" w:ascii="Wingdings" w:hAnsi="Wingdings" w:cs="Wingdings"/>
      </w:rPr>
      <w:start w:val="1"/>
      <w:suff w:val="tab"/>
    </w:lvl>
  </w:abstractNum>
  <w:abstractNum w:abstractNumId="2">
    <w:lvl w:ilvl="0">
      <w:isLgl w:val="false"/>
      <w:lvlJc w:val="left"/>
      <w:lvlText w:val="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"/>
      <w:numFmt w:val="bullet"/>
      <w:pPr>
        <w:pBdr/>
        <w:tabs>
          <w:tab w:val="num" w:leader="none" w:pos="1307"/>
        </w:tabs>
        <w:spacing/>
        <w:ind w:hanging="113" w:left="1193"/>
      </w:pPr>
      <w:rPr>
        <w:rFonts w:hint="default" w:ascii="Symbol" w:hAnsi="Symbol"/>
        <w:color w:val="auto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3">
    <w:lvl w:ilvl="0">
      <w:isLgl w:val="false"/>
      <w:lvlJc w:val="left"/>
      <w:lvlText w:val="−"/>
      <w:numFmt w:val="bullet"/>
      <w:pPr>
        <w:pBdr/>
        <w:spacing/>
        <w:ind w:hanging="360" w:left="720"/>
      </w:pPr>
      <w:rPr>
        <w:rFonts w:hint="default" w:ascii="Times New Roman" w:hAnsi="Times New Roman" w:cs="Times New Roman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 w:cs="Wingdings"/>
      </w:rPr>
      <w:start w:val="1"/>
      <w:suff w:val="tab"/>
    </w:lvl>
  </w:abstractNum>
  <w:abstractNum w:abstractNumId="4">
    <w:lvl w:ilvl="0">
      <w:isLgl w:val="false"/>
      <w:lvlJc w:val="left"/>
      <w:lvlText w:val="−"/>
      <w:numFmt w:val="bullet"/>
      <w:pPr>
        <w:pBdr/>
        <w:spacing/>
        <w:ind w:hanging="360" w:left="720"/>
      </w:pPr>
      <w:rPr>
        <w:rFonts w:hint="default" w:ascii="Times New Roman" w:hAnsi="Times New Roman" w:cs="Times New Roman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 w:cs="Wingdings"/>
      </w:rPr>
      <w:start w:val="1"/>
      <w:suff w:val="tab"/>
    </w:lvl>
  </w:abstractNum>
  <w:abstractNum w:abstractNumId="5"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>
        <w:rFonts w:cs="Times New Roman"/>
      </w:rPr>
      <w:start w:val="1"/>
      <w:suff w:val="tab"/>
    </w:lvl>
  </w:abstractNum>
  <w:abstractNum w:abstractNumId="6">
    <w:lvl w:ilvl="0">
      <w:isLgl w:val="false"/>
      <w:lvlJc w:val="left"/>
      <w:lvlText w:val="-"/>
      <w:numFmt w:val="bullet"/>
      <w:pPr>
        <w:pBdr/>
        <w:tabs>
          <w:tab w:val="num" w:leader="none" w:pos="1740"/>
        </w:tabs>
        <w:spacing/>
        <w:ind w:hanging="360" w:left="1740"/>
      </w:pPr>
      <w:rPr>
        <w:rFonts w:hint="default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60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80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20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40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80"/>
      </w:pPr>
      <w:rPr>
        <w:rFonts w:hint="default" w:ascii="Wingdings" w:hAnsi="Wingdings" w:eastAsia="Wingdings" w:cs="Wingdings"/>
      </w:rPr>
      <w:start w:val="1"/>
      <w:suff w:val="tab"/>
    </w:lvl>
  </w:abstractNum>
  <w:abstractNum w:abstractNumId="7"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>
        <w:rFonts w:hint="default"/>
      </w:rPr>
      <w:start w:val="2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360"/>
        </w:tabs>
        <w:spacing/>
        <w:ind w:hanging="360" w:left="360"/>
      </w:pPr>
      <w:rPr>
        <w:rFonts w:hint="default"/>
      </w:rPr>
      <w:start w:val="7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720"/>
        </w:tabs>
        <w:spacing/>
        <w:ind w:hanging="720" w:left="720"/>
      </w:pPr>
      <w:rPr>
        <w:rFonts w:hint="default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720"/>
        </w:tabs>
        <w:spacing/>
        <w:ind w:hanging="720" w:left="720"/>
      </w:pPr>
      <w:rPr>
        <w:rFonts w:hint="default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080"/>
        </w:tabs>
        <w:spacing/>
        <w:ind w:hanging="1080" w:left="1080"/>
      </w:pPr>
      <w:rPr>
        <w:rFonts w:hint="default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080"/>
        </w:tabs>
        <w:spacing/>
        <w:ind w:hanging="1080" w:left="1080"/>
      </w:pPr>
      <w:rPr>
        <w:rFonts w:hint="default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1440"/>
        </w:tabs>
        <w:spacing/>
        <w:ind w:hanging="1440" w:left="1440"/>
      </w:pPr>
      <w:rPr>
        <w:rFonts w:hint="default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1440"/>
        </w:tabs>
        <w:spacing/>
        <w:ind w:hanging="1440" w:left="1440"/>
      </w:pPr>
      <w:rPr>
        <w:rFonts w:hint="default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1800"/>
        </w:tabs>
        <w:spacing/>
        <w:ind w:hanging="1800" w:left="1800"/>
      </w:pPr>
      <w:rPr>
        <w:rFonts w:hint="default"/>
      </w:rPr>
      <w:start w:val="1"/>
      <w:suff w:val="tab"/>
    </w:lvl>
  </w:abstractNum>
  <w:abstractNum w:abstractNumId="8">
    <w:lvl w:ilvl="0">
      <w:isLgl w:val="false"/>
      <w:lvlJc w:val="left"/>
      <w:lvlText w:val="−"/>
      <w:numFmt w:val="bullet"/>
      <w:pPr>
        <w:pBdr/>
        <w:spacing/>
        <w:ind w:hanging="360" w:left="720"/>
      </w:pPr>
      <w:rPr>
        <w:rFonts w:hint="default" w:ascii="Times New Roman" w:hAnsi="Times New Roman" w:cs="Times New Roman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 w:cs="Wingdings"/>
      </w:rPr>
      <w:start w:val="1"/>
      <w:suff w:val="tab"/>
    </w:lvl>
  </w:abstractNum>
  <w:abstractNum w:abstractNumId="9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>
        <w:rFonts w:hint="default"/>
        <w:b/>
      </w:rPr>
      <w:start w:val="1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0">
    <w:lvl w:ilvl="0">
      <w:isLgl w:val="false"/>
      <w:lvlJc w:val="left"/>
      <w:lvlText w:val="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1"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>
        <w:rFonts w:hint="default"/>
      </w:rPr>
      <w:start w:val="2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360"/>
        </w:tabs>
        <w:spacing/>
        <w:ind w:hanging="360" w:left="360"/>
      </w:pPr>
      <w:rPr>
        <w:rFonts w:hint="default"/>
      </w:rPr>
      <w:start w:val="3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720"/>
        </w:tabs>
        <w:spacing/>
        <w:ind w:hanging="720" w:left="720"/>
      </w:pPr>
      <w:rPr>
        <w:rFonts w:hint="default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720"/>
        </w:tabs>
        <w:spacing/>
        <w:ind w:hanging="720" w:left="720"/>
      </w:pPr>
      <w:rPr>
        <w:rFonts w:hint="default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080"/>
        </w:tabs>
        <w:spacing/>
        <w:ind w:hanging="1080" w:left="1080"/>
      </w:pPr>
      <w:rPr>
        <w:rFonts w:hint="default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080"/>
        </w:tabs>
        <w:spacing/>
        <w:ind w:hanging="1080" w:left="1080"/>
      </w:pPr>
      <w:rPr>
        <w:rFonts w:hint="default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1440"/>
        </w:tabs>
        <w:spacing/>
        <w:ind w:hanging="1440" w:left="1440"/>
      </w:pPr>
      <w:rPr>
        <w:rFonts w:hint="default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1440"/>
        </w:tabs>
        <w:spacing/>
        <w:ind w:hanging="1440" w:left="1440"/>
      </w:pPr>
      <w:rPr>
        <w:rFonts w:hint="default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1800"/>
        </w:tabs>
        <w:spacing/>
        <w:ind w:hanging="1800" w:left="1800"/>
      </w:pPr>
      <w:rPr>
        <w:rFonts w:hint="default"/>
      </w:rPr>
      <w:start w:val="1"/>
      <w:suff w:val="tab"/>
    </w:lvl>
  </w:abstractNum>
  <w:abstractNum w:abstractNumId="12">
    <w:lvl w:ilvl="0">
      <w:isLgl w:val="false"/>
      <w:lvlJc w:val="left"/>
      <w:lvlText w:val="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3">
    <w:lvl w:ilvl="0">
      <w:isLgl w:val="false"/>
      <w:lvlJc w:val="left"/>
      <w:lvlText w:val="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4"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5"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6">
    <w:lvl w:ilvl="0">
      <w:isLgl w:val="false"/>
      <w:lvlJc w:val="left"/>
      <w:lvlText w:val=""/>
      <w:numFmt w:val="bullet"/>
      <w:pPr>
        <w:pBdr/>
        <w:spacing/>
        <w:ind w:hanging="360" w:left="720"/>
      </w:pPr>
      <w:rPr>
        <w:rFonts w:hint="default" w:ascii="Symbol" w:hAnsi="Symbol" w:cs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 w:cs="Wingdings"/>
      </w:rPr>
      <w:start w:val="1"/>
      <w:suff w:val="tab"/>
    </w:lvl>
  </w:abstractNum>
  <w:abstractNum w:abstractNumId="17">
    <w:lvl w:ilvl="0">
      <w:isLgl w:val="false"/>
      <w:lvlJc w:val="left"/>
      <w:lvlText w:val="%1."/>
      <w:numFmt w:val="decimal"/>
      <w:pPr>
        <w:pBdr/>
        <w:tabs>
          <w:tab w:val="num" w:leader="none" w:pos="368"/>
        </w:tabs>
        <w:spacing/>
        <w:ind w:hanging="368" w:left="368"/>
      </w:pPr>
      <w:rPr>
        <w:rFonts w:hint="default"/>
      </w:rPr>
      <w:start w:val="2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368"/>
        </w:tabs>
        <w:spacing/>
        <w:ind w:hanging="368" w:left="368"/>
      </w:pPr>
      <w:rPr>
        <w:rFonts w:hint="default"/>
      </w:rPr>
      <w:start w:val="6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720"/>
        </w:tabs>
        <w:spacing/>
        <w:ind w:hanging="720" w:left="720"/>
      </w:pPr>
      <w:rPr>
        <w:rFonts w:hint="default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720"/>
        </w:tabs>
        <w:spacing/>
        <w:ind w:hanging="720" w:left="720"/>
      </w:pPr>
      <w:rPr>
        <w:rFonts w:hint="default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080"/>
        </w:tabs>
        <w:spacing/>
        <w:ind w:hanging="1080" w:left="1080"/>
      </w:pPr>
      <w:rPr>
        <w:rFonts w:hint="default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080"/>
        </w:tabs>
        <w:spacing/>
        <w:ind w:hanging="1080" w:left="1080"/>
      </w:pPr>
      <w:rPr>
        <w:rFonts w:hint="default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1440"/>
        </w:tabs>
        <w:spacing/>
        <w:ind w:hanging="1440" w:left="1440"/>
      </w:pPr>
      <w:rPr>
        <w:rFonts w:hint="default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1440"/>
        </w:tabs>
        <w:spacing/>
        <w:ind w:hanging="1440" w:left="1440"/>
      </w:pPr>
      <w:rPr>
        <w:rFonts w:hint="default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1800"/>
        </w:tabs>
        <w:spacing/>
        <w:ind w:hanging="1800" w:left="1800"/>
      </w:pPr>
      <w:rPr>
        <w:rFonts w:hint="default"/>
      </w:rPr>
      <w:start w:val="1"/>
      <w:suff w:val="tab"/>
    </w:lvl>
  </w:abstractNum>
  <w:abstractNum w:abstractNumId="18">
    <w:lvl w:ilvl="0">
      <w:isLgl w:val="false"/>
      <w:lvlJc w:val="left"/>
      <w:lvlText w:val="−"/>
      <w:numFmt w:val="bullet"/>
      <w:pPr>
        <w:pBdr/>
        <w:spacing/>
        <w:ind w:hanging="360" w:left="720"/>
      </w:pPr>
      <w:rPr>
        <w:rFonts w:hint="default" w:ascii="Times New Roman" w:hAnsi="Times New Roman" w:cs="Times New Roman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 w:cs="Wingdings"/>
      </w:rPr>
      <w:start w:val="1"/>
      <w:suff w:val="tab"/>
    </w:lvl>
  </w:abstractNum>
  <w:abstractNum w:abstractNumId="19">
    <w:lvl w:ilvl="0">
      <w:isLgl w:val="false"/>
      <w:lvlJc w:val="left"/>
      <w:lvlText w:val="−"/>
      <w:numFmt w:val="bullet"/>
      <w:pPr>
        <w:pBdr/>
        <w:spacing/>
        <w:ind w:hanging="360" w:left="720"/>
      </w:pPr>
      <w:rPr>
        <w:rFonts w:hint="default" w:ascii="Times New Roman" w:hAnsi="Times New Roman" w:cs="Times New Roman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 w:cs="Wingdings"/>
      </w:rPr>
      <w:start w:val="1"/>
      <w:suff w:val="tab"/>
    </w:lvl>
  </w:abstractNum>
  <w:abstractNum w:abstractNumId="20">
    <w:lvl w:ilvl="0">
      <w:isLgl w:val="false"/>
      <w:lvlJc w:val="left"/>
      <w:lvlText w:val="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21"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>
        <w:rFonts w:hint="default"/>
      </w:rPr>
      <w:start w:val="2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360"/>
        </w:tabs>
        <w:spacing/>
        <w:ind w:hanging="360" w:left="360"/>
      </w:pPr>
      <w:rPr>
        <w:rFonts w:hint="default"/>
      </w:rPr>
      <w:start w:val="8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720"/>
        </w:tabs>
        <w:spacing/>
        <w:ind w:hanging="720" w:left="720"/>
      </w:pPr>
      <w:rPr>
        <w:rFonts w:hint="default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720"/>
        </w:tabs>
        <w:spacing/>
        <w:ind w:hanging="720" w:left="720"/>
      </w:pPr>
      <w:rPr>
        <w:rFonts w:hint="default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080"/>
        </w:tabs>
        <w:spacing/>
        <w:ind w:hanging="1080" w:left="1080"/>
      </w:pPr>
      <w:rPr>
        <w:rFonts w:hint="default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080"/>
        </w:tabs>
        <w:spacing/>
        <w:ind w:hanging="1080" w:left="1080"/>
      </w:pPr>
      <w:rPr>
        <w:rFonts w:hint="default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1440"/>
        </w:tabs>
        <w:spacing/>
        <w:ind w:hanging="1440" w:left="1440"/>
      </w:pPr>
      <w:rPr>
        <w:rFonts w:hint="default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1440"/>
        </w:tabs>
        <w:spacing/>
        <w:ind w:hanging="1440" w:left="1440"/>
      </w:pPr>
      <w:rPr>
        <w:rFonts w:hint="default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1800"/>
        </w:tabs>
        <w:spacing/>
        <w:ind w:hanging="1800" w:left="1800"/>
      </w:pPr>
      <w:rPr>
        <w:rFonts w:hint="default"/>
      </w:rPr>
      <w:start w:val="1"/>
      <w:suff w:val="tab"/>
    </w:lvl>
  </w:abstractNum>
  <w:abstractNum w:abstractNumId="22">
    <w:lvl w:ilvl="0">
      <w:isLgl w:val="false"/>
      <w:lvlJc w:val="left"/>
      <w:lvlText w:val="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23">
    <w:lvl w:ilvl="0">
      <w:isLgl w:val="false"/>
      <w:lvlJc w:val="left"/>
      <w:lvlText w:val="−"/>
      <w:numFmt w:val="bullet"/>
      <w:pPr>
        <w:pBdr/>
        <w:spacing/>
        <w:ind w:hanging="360" w:left="720"/>
      </w:pPr>
      <w:rPr>
        <w:rFonts w:hint="default" w:ascii="Times New Roman" w:hAnsi="Times New Roman" w:cs="Times New Roman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 w:cs="Wingdings"/>
      </w:rPr>
      <w:start w:val="1"/>
      <w:suff w:val="tab"/>
    </w:lvl>
  </w:abstractNum>
  <w:abstractNum w:abstractNumId="24"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>
        <w:rFonts w:hint="default"/>
      </w:rPr>
      <w:start w:val="2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360"/>
        </w:tabs>
        <w:spacing/>
        <w:ind w:hanging="360" w:left="360"/>
      </w:pPr>
      <w:rPr>
        <w:rFonts w:hint="default"/>
      </w:rPr>
      <w:start w:val="5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720"/>
        </w:tabs>
        <w:spacing/>
        <w:ind w:hanging="720" w:left="720"/>
      </w:pPr>
      <w:rPr>
        <w:rFonts w:hint="default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720"/>
        </w:tabs>
        <w:spacing/>
        <w:ind w:hanging="720" w:left="720"/>
      </w:pPr>
      <w:rPr>
        <w:rFonts w:hint="default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080"/>
        </w:tabs>
        <w:spacing/>
        <w:ind w:hanging="1080" w:left="1080"/>
      </w:pPr>
      <w:rPr>
        <w:rFonts w:hint="default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080"/>
        </w:tabs>
        <w:spacing/>
        <w:ind w:hanging="1080" w:left="1080"/>
      </w:pPr>
      <w:rPr>
        <w:rFonts w:hint="default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1440"/>
        </w:tabs>
        <w:spacing/>
        <w:ind w:hanging="1440" w:left="1440"/>
      </w:pPr>
      <w:rPr>
        <w:rFonts w:hint="default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1440"/>
        </w:tabs>
        <w:spacing/>
        <w:ind w:hanging="1440" w:left="1440"/>
      </w:pPr>
      <w:rPr>
        <w:rFonts w:hint="default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1800"/>
        </w:tabs>
        <w:spacing/>
        <w:ind w:hanging="1800" w:left="1800"/>
      </w:pPr>
      <w:rPr>
        <w:rFonts w:hint="default"/>
      </w:rPr>
      <w:start w:val="1"/>
      <w:suff w:val="tab"/>
    </w:lvl>
  </w:abstractNum>
  <w:abstractNum w:abstractNumId="25">
    <w:lvl w:ilvl="0">
      <w:isLgl w:val="false"/>
      <w:lvlJc w:val="left"/>
      <w:lvlText w:val="-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Times New Roman" w:hAnsi="Times New Roman" w:eastAsia="Times New Roman" w:cs="Times New Roman"/>
      </w:rPr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360"/>
        </w:tabs>
        <w:spacing/>
        <w:ind w:firstLine="0" w:left="0"/>
      </w:pPr>
      <w:rPr>
        <w:rFonts w:hint="default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26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>
        <w:rFonts w:hint="default"/>
      </w:rPr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27">
    <w:lvl w:ilvl="0">
      <w:isLgl w:val="false"/>
      <w:lvlJc w:val="left"/>
      <w:lvlText w:val="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28">
    <w:lvl w:ilvl="0">
      <w:isLgl w:val="false"/>
      <w:lvlJc w:val="left"/>
      <w:lvlText w:val="−"/>
      <w:numFmt w:val="bullet"/>
      <w:pPr>
        <w:pBdr/>
        <w:spacing/>
        <w:ind w:hanging="360" w:left="720"/>
      </w:pPr>
      <w:rPr>
        <w:rFonts w:hint="default" w:ascii="Times New Roman" w:hAnsi="Times New Roman" w:cs="Times New Roman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 w:cs="Wingdings"/>
      </w:rPr>
      <w:start w:val="1"/>
      <w:suff w:val="tab"/>
    </w:lvl>
  </w:abstractNum>
  <w:abstractNum w:abstractNumId="29">
    <w:lvl w:ilvl="0">
      <w:isLgl w:val="false"/>
      <w:lvlJc w:val="left"/>
      <w:lvlText w:val="−"/>
      <w:numFmt w:val="bullet"/>
      <w:pPr>
        <w:pBdr/>
        <w:spacing/>
        <w:ind w:hanging="360" w:left="720"/>
      </w:pPr>
      <w:rPr>
        <w:rFonts w:hint="default" w:ascii="Times New Roman" w:hAnsi="Times New Roman" w:cs="Times New Roman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 w:cs="Wingdings"/>
      </w:rPr>
      <w:start w:val="1"/>
      <w:suff w:val="tab"/>
    </w:lvl>
  </w:abstractNum>
  <w:abstractNum w:abstractNumId="30">
    <w:lvl w:ilvl="0">
      <w:isLgl w:val="false"/>
      <w:lvlJc w:val="left"/>
      <w:lvlText w:val="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31">
    <w:lvl w:ilvl="0">
      <w:isLgl w:val="false"/>
      <w:lvlJc w:val="left"/>
      <w:lvlText w:val="-"/>
      <w:numFmt w:val="bullet"/>
      <w:pPr>
        <w:pBdr/>
        <w:tabs>
          <w:tab w:val="num" w:leader="none" w:pos="360"/>
        </w:tabs>
        <w:spacing/>
        <w:ind w:hanging="360" w:left="360"/>
      </w:pPr>
      <w:rPr>
        <w:rFonts w:hint="default"/>
      </w:rPr>
      <w:start w:val="5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60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80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20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40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80"/>
      </w:pPr>
      <w:rPr>
        <w:rFonts w:hint="default" w:ascii="Wingdings" w:hAnsi="Wingdings" w:eastAsia="Wingdings" w:cs="Wingdings"/>
      </w:rPr>
      <w:start w:val="1"/>
      <w:suff w:val="tab"/>
    </w:lvl>
  </w:abstractNum>
  <w:abstractNum w:abstractNumId="32"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/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60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80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20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40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80"/>
      </w:pPr>
      <w:rPr>
        <w:rFonts w:hint="default" w:ascii="Wingdings" w:hAnsi="Wingdings" w:eastAsia="Wingdings" w:cs="Wingdings"/>
      </w:rPr>
      <w:start w:val="1"/>
      <w:suff w:val="tab"/>
    </w:lvl>
  </w:abstractNum>
  <w:abstractNum w:abstractNumId="33">
    <w:lvl w:ilvl="0">
      <w:isLgl w:val="false"/>
      <w:lvlJc w:val="left"/>
      <w:lvlText w:val="%1."/>
      <w:numFmt w:val="decimal"/>
      <w:pPr>
        <w:pBdr/>
        <w:tabs>
          <w:tab w:val="num" w:leader="none" w:pos="373"/>
        </w:tabs>
        <w:spacing/>
        <w:ind w:hanging="373" w:left="373"/>
      </w:pPr>
      <w:rPr>
        <w:rFonts w:hint="default"/>
      </w:rPr>
      <w:start w:val="2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373"/>
        </w:tabs>
        <w:spacing/>
        <w:ind w:hanging="373" w:left="373"/>
      </w:pPr>
      <w:rPr>
        <w:rFonts w:hint="default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720"/>
        </w:tabs>
        <w:spacing/>
        <w:ind w:hanging="720" w:left="720"/>
      </w:pPr>
      <w:rPr>
        <w:rFonts w:hint="default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720"/>
        </w:tabs>
        <w:spacing/>
        <w:ind w:hanging="720" w:left="720"/>
      </w:pPr>
      <w:rPr>
        <w:rFonts w:hint="default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080"/>
        </w:tabs>
        <w:spacing/>
        <w:ind w:hanging="1080" w:left="1080"/>
      </w:pPr>
      <w:rPr>
        <w:rFonts w:hint="default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080"/>
        </w:tabs>
        <w:spacing/>
        <w:ind w:hanging="1080" w:left="1080"/>
      </w:pPr>
      <w:rPr>
        <w:rFonts w:hint="default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1440"/>
        </w:tabs>
        <w:spacing/>
        <w:ind w:hanging="1440" w:left="1440"/>
      </w:pPr>
      <w:rPr>
        <w:rFonts w:hint="default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1440"/>
        </w:tabs>
        <w:spacing/>
        <w:ind w:hanging="1440" w:left="1440"/>
      </w:pPr>
      <w:rPr>
        <w:rFonts w:hint="default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1800"/>
        </w:tabs>
        <w:spacing/>
        <w:ind w:hanging="1800" w:left="1800"/>
      </w:pPr>
      <w:rPr>
        <w:rFonts w:hint="default"/>
      </w:rPr>
      <w:start w:val="1"/>
      <w:suff w:val="tab"/>
    </w:lvl>
  </w:abstractNum>
  <w:abstractNum w:abstractNumId="34">
    <w:lvl w:ilvl="0">
      <w:isLgl w:val="false"/>
      <w:lvlJc w:val="left"/>
      <w:lvlText w:val="−"/>
      <w:numFmt w:val="bullet"/>
      <w:pPr>
        <w:pBdr/>
        <w:spacing/>
        <w:ind w:hanging="360" w:left="720"/>
      </w:pPr>
      <w:rPr>
        <w:rFonts w:hint="default" w:ascii="Times New Roman" w:hAnsi="Times New Roman" w:cs="Times New Roman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 w:cs="Wingdings"/>
      </w:rPr>
      <w:start w:val="1"/>
      <w:suff w:val="tab"/>
    </w:lvl>
  </w:abstractNum>
  <w:abstractNum w:abstractNumId="35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>
        <w:rFonts w:eastAsia="Times New Roman" w:cs="Tahoma"/>
        <w:sz w:val="28"/>
        <w:szCs w:val="28"/>
        <w:lang w:val="en-US"/>
      </w:rPr>
      <w:start w:val="2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</w:abstractNum>
  <w:abstractNum w:abstractNumId="36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>
        <w:rFonts w:ascii="Symbol" w:hAnsi="Symbol" w:eastAsia="Times New Roman" w:cs="OpenSymbol"/>
        <w:b w:val="0"/>
        <w:bCs w:val="0"/>
        <w:sz w:val="28"/>
        <w:szCs w:val="28"/>
        <w:lang w:eastAsia="ar-SA"/>
      </w:rPr>
      <w:start w:val="4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</w:abstractNum>
  <w:abstractNum w:abstractNumId="37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>
        <w:rFonts w:eastAsia="Times New Roman" w:cs="Times New Roman"/>
        <w:b w:val="0"/>
        <w:bCs w:val="0"/>
        <w:sz w:val="28"/>
        <w:szCs w:val="28"/>
        <w:lang w:eastAsia="ar-SA"/>
      </w:rPr>
      <w:start w:val="6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</w:abstractNum>
  <w:abstractNum w:abstractNumId="38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2.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2.%3.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2.%3.%4.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2.%3.%4.%5.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2.%3.%4.%5.%6.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2.%3.%4.%5.%6.%7.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2.%3.%4.%5.%6.%7.%8.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39">
    <w:lvl w:ilvl="0">
      <w:isLgl w:val="false"/>
      <w:lvlJc w:val="left"/>
      <w:lvlText w:val="–"/>
      <w:numFmt w:val="bullet"/>
      <w:pPr>
        <w:pBdr/>
        <w:spacing/>
        <w:ind w:hanging="360" w:left="709"/>
      </w:pPr>
      <w:rPr>
        <w:rFonts w:hint="default" w:ascii="Arial" w:hAnsi="Arial" w:eastAsia="Arial" w:cs="Aria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29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49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69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589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09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29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49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69"/>
      </w:pPr>
      <w:rPr>
        <w:rFonts w:hint="default" w:ascii="Wingdings" w:hAnsi="Wingdings" w:eastAsia="Wingdings" w:cs="Wingdings"/>
      </w:rPr>
      <w:start w:val="1"/>
      <w:suff w:val="tab"/>
    </w:lvl>
  </w:abstractNum>
  <w:abstractNum w:abstractNumId="40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>
        <w:sz w:val="28"/>
        <w:szCs w:val="28"/>
      </w:rPr>
      <w:start w:val="7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</w:abstractNum>
  <w:num w:numId="1">
    <w:abstractNumId w:val="33"/>
  </w:num>
  <w:num w:numId="2">
    <w:abstractNumId w:val="17"/>
  </w:num>
  <w:num w:numId="3">
    <w:abstractNumId w:val="6"/>
  </w:num>
  <w:num w:numId="4">
    <w:abstractNumId w:val="31"/>
  </w:num>
  <w:num w:numId="5">
    <w:abstractNumId w:val="0"/>
  </w:num>
  <w:num w:numId="6">
    <w:abstractNumId w:val="24"/>
  </w:num>
  <w:num w:numId="7">
    <w:abstractNumId w:val="7"/>
  </w:num>
  <w:num w:numId="8">
    <w:abstractNumId w:val="21"/>
  </w:num>
  <w:num w:numId="9">
    <w:abstractNumId w:val="26"/>
  </w:num>
  <w:num w:numId="10">
    <w:abstractNumId w:val="32"/>
  </w:num>
  <w:num w:numId="11">
    <w:abstractNumId w:val="11"/>
  </w:num>
  <w:num w:numId="12">
    <w:abstractNumId w:val="9"/>
  </w:num>
  <w:num w:numId="13">
    <w:abstractNumId w:val="2"/>
  </w:num>
  <w:num w:numId="14">
    <w:abstractNumId w:val="25"/>
  </w:num>
  <w:num w:numId="15">
    <w:abstractNumId w:val="15"/>
  </w:num>
  <w:num w:numId="16">
    <w:abstractNumId w:val="16"/>
  </w:num>
  <w:num w:numId="17">
    <w:abstractNumId w:val="1"/>
  </w:num>
  <w:num w:numId="18">
    <w:abstractNumId w:val="3"/>
  </w:num>
  <w:num w:numId="19">
    <w:abstractNumId w:val="23"/>
  </w:num>
  <w:num w:numId="20">
    <w:abstractNumId w:val="29"/>
  </w:num>
  <w:num w:numId="21">
    <w:abstractNumId w:val="18"/>
  </w:num>
  <w:num w:numId="22">
    <w:abstractNumId w:val="34"/>
  </w:num>
  <w:num w:numId="23">
    <w:abstractNumId w:val="4"/>
  </w:num>
  <w:num w:numId="24">
    <w:abstractNumId w:val="19"/>
  </w:num>
  <w:num w:numId="25">
    <w:abstractNumId w:val="28"/>
  </w:num>
  <w:num w:numId="26">
    <w:abstractNumId w:val="8"/>
  </w:num>
  <w:num w:numId="27">
    <w:abstractNumId w:val="5"/>
  </w:num>
  <w:num w:numId="28">
    <w:abstractNumId w:val="13"/>
  </w:num>
  <w:num w:numId="29">
    <w:abstractNumId w:val="20"/>
  </w:num>
  <w:num w:numId="30">
    <w:abstractNumId w:val="27"/>
  </w:num>
  <w:num w:numId="31">
    <w:abstractNumId w:val="12"/>
  </w:num>
  <w:num w:numId="32">
    <w:abstractNumId w:val="30"/>
  </w:num>
  <w:num w:numId="33">
    <w:abstractNumId w:val="10"/>
  </w:num>
  <w:num w:numId="34">
    <w:abstractNumId w:val="22"/>
  </w:num>
  <w:num w:numId="35">
    <w:abstractNumId w:val="1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48">
    <w:name w:val="Intense Emphasis"/>
    <w:basedOn w:val="929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character" w:styleId="749">
    <w:name w:val="Intense Reference"/>
    <w:basedOn w:val="929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750">
    <w:name w:val="Subtle Emphasis"/>
    <w:basedOn w:val="929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751">
    <w:name w:val="Strong"/>
    <w:basedOn w:val="929"/>
    <w:uiPriority w:val="22"/>
    <w:qFormat/>
    <w:pPr>
      <w:pBdr/>
      <w:spacing/>
      <w:ind/>
    </w:pPr>
    <w:rPr>
      <w:b/>
      <w:bCs/>
    </w:rPr>
  </w:style>
  <w:style w:type="character" w:styleId="752">
    <w:name w:val="Subtle Reference"/>
    <w:basedOn w:val="929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753">
    <w:name w:val="Book Title"/>
    <w:basedOn w:val="929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754">
    <w:name w:val="FollowedHyperlink"/>
    <w:basedOn w:val="929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755">
    <w:name w:val="Heading 1"/>
    <w:basedOn w:val="926"/>
    <w:next w:val="926"/>
    <w:link w:val="756"/>
    <w:uiPriority w:val="9"/>
    <w:qFormat/>
    <w:pPr>
      <w:keepNext w:val="true"/>
      <w:keepLines w:val="true"/>
      <w:pBdr/>
      <w:spacing w:after="200" w:before="480"/>
      <w:ind/>
      <w:outlineLvl w:val="0"/>
    </w:pPr>
    <w:rPr>
      <w:rFonts w:ascii="Arial" w:hAnsi="Arial" w:eastAsia="Arial" w:cs="Arial"/>
      <w:sz w:val="40"/>
      <w:szCs w:val="40"/>
    </w:rPr>
  </w:style>
  <w:style w:type="character" w:styleId="756">
    <w:name w:val="Heading 1 Char"/>
    <w:basedOn w:val="929"/>
    <w:link w:val="755"/>
    <w:uiPriority w:val="9"/>
    <w:pPr>
      <w:pBdr/>
      <w:spacing/>
      <w:ind/>
    </w:pPr>
    <w:rPr>
      <w:rFonts w:ascii="Arial" w:hAnsi="Arial" w:eastAsia="Arial" w:cs="Arial"/>
      <w:sz w:val="40"/>
      <w:szCs w:val="40"/>
    </w:rPr>
  </w:style>
  <w:style w:type="character" w:styleId="757">
    <w:name w:val="Heading 2 Char"/>
    <w:basedOn w:val="929"/>
    <w:link w:val="927"/>
    <w:uiPriority w:val="9"/>
    <w:pPr>
      <w:pBdr/>
      <w:spacing/>
      <w:ind/>
    </w:pPr>
    <w:rPr>
      <w:rFonts w:ascii="Arial" w:hAnsi="Arial" w:eastAsia="Arial" w:cs="Arial"/>
      <w:sz w:val="34"/>
    </w:rPr>
  </w:style>
  <w:style w:type="character" w:styleId="758">
    <w:name w:val="Heading 3 Char"/>
    <w:basedOn w:val="929"/>
    <w:link w:val="928"/>
    <w:uiPriority w:val="9"/>
    <w:pPr>
      <w:pBdr/>
      <w:spacing/>
      <w:ind/>
    </w:pPr>
    <w:rPr>
      <w:rFonts w:ascii="Arial" w:hAnsi="Arial" w:eastAsia="Arial" w:cs="Arial"/>
      <w:sz w:val="30"/>
      <w:szCs w:val="30"/>
    </w:rPr>
  </w:style>
  <w:style w:type="paragraph" w:styleId="759">
    <w:name w:val="Heading 4"/>
    <w:basedOn w:val="926"/>
    <w:next w:val="926"/>
    <w:link w:val="760"/>
    <w:uiPriority w:val="9"/>
    <w:unhideWhenUsed/>
    <w:qFormat/>
    <w:pPr>
      <w:keepNext w:val="true"/>
      <w:keepLines w:val="true"/>
      <w:pBdr/>
      <w:spacing w:after="200" w:before="320"/>
      <w:ind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60">
    <w:name w:val="Heading 4 Char"/>
    <w:basedOn w:val="929"/>
    <w:link w:val="759"/>
    <w:uiPriority w:val="9"/>
    <w:pPr>
      <w:pBdr/>
      <w:spacing/>
      <w:ind/>
    </w:pPr>
    <w:rPr>
      <w:rFonts w:ascii="Arial" w:hAnsi="Arial" w:eastAsia="Arial" w:cs="Arial"/>
      <w:b/>
      <w:bCs/>
      <w:sz w:val="26"/>
      <w:szCs w:val="26"/>
    </w:rPr>
  </w:style>
  <w:style w:type="paragraph" w:styleId="761">
    <w:name w:val="Heading 5"/>
    <w:basedOn w:val="926"/>
    <w:next w:val="926"/>
    <w:link w:val="762"/>
    <w:uiPriority w:val="9"/>
    <w:unhideWhenUsed/>
    <w:qFormat/>
    <w:pPr>
      <w:keepNext w:val="true"/>
      <w:keepLines w:val="true"/>
      <w:pBdr/>
      <w:spacing w:after="200" w:before="320"/>
      <w:ind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62">
    <w:name w:val="Heading 5 Char"/>
    <w:basedOn w:val="929"/>
    <w:link w:val="761"/>
    <w:uiPriority w:val="9"/>
    <w:pPr>
      <w:pBdr/>
      <w:spacing/>
      <w:ind/>
    </w:pPr>
    <w:rPr>
      <w:rFonts w:ascii="Arial" w:hAnsi="Arial" w:eastAsia="Arial" w:cs="Arial"/>
      <w:b/>
      <w:bCs/>
      <w:sz w:val="24"/>
      <w:szCs w:val="24"/>
    </w:rPr>
  </w:style>
  <w:style w:type="paragraph" w:styleId="763">
    <w:name w:val="Heading 6"/>
    <w:basedOn w:val="926"/>
    <w:next w:val="926"/>
    <w:link w:val="764"/>
    <w:uiPriority w:val="9"/>
    <w:unhideWhenUsed/>
    <w:qFormat/>
    <w:pPr>
      <w:keepNext w:val="true"/>
      <w:keepLines w:val="true"/>
      <w:pBdr/>
      <w:spacing w:after="200" w:before="320"/>
      <w:ind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64">
    <w:name w:val="Heading 6 Char"/>
    <w:basedOn w:val="929"/>
    <w:link w:val="763"/>
    <w:uiPriority w:val="9"/>
    <w:pPr>
      <w:pBdr/>
      <w:spacing/>
      <w:ind/>
    </w:pPr>
    <w:rPr>
      <w:rFonts w:ascii="Arial" w:hAnsi="Arial" w:eastAsia="Arial" w:cs="Arial"/>
      <w:b/>
      <w:bCs/>
      <w:sz w:val="22"/>
      <w:szCs w:val="22"/>
    </w:rPr>
  </w:style>
  <w:style w:type="paragraph" w:styleId="765">
    <w:name w:val="Heading 7"/>
    <w:basedOn w:val="926"/>
    <w:next w:val="926"/>
    <w:link w:val="766"/>
    <w:uiPriority w:val="9"/>
    <w:unhideWhenUsed/>
    <w:qFormat/>
    <w:pPr>
      <w:keepNext w:val="true"/>
      <w:keepLines w:val="true"/>
      <w:pBdr/>
      <w:spacing w:after="200" w:before="320"/>
      <w:ind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66">
    <w:name w:val="Heading 7 Char"/>
    <w:basedOn w:val="929"/>
    <w:link w:val="765"/>
    <w:uiPriority w:val="9"/>
    <w:pPr>
      <w:pBdr/>
      <w:spacing/>
      <w:ind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67">
    <w:name w:val="Heading 8"/>
    <w:basedOn w:val="926"/>
    <w:next w:val="926"/>
    <w:link w:val="768"/>
    <w:uiPriority w:val="9"/>
    <w:unhideWhenUsed/>
    <w:qFormat/>
    <w:pPr>
      <w:keepNext w:val="true"/>
      <w:keepLines w:val="true"/>
      <w:pBdr/>
      <w:spacing w:after="200" w:before="320"/>
      <w:ind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68">
    <w:name w:val="Heading 8 Char"/>
    <w:basedOn w:val="929"/>
    <w:link w:val="767"/>
    <w:uiPriority w:val="9"/>
    <w:pPr>
      <w:pBdr/>
      <w:spacing/>
      <w:ind/>
    </w:pPr>
    <w:rPr>
      <w:rFonts w:ascii="Arial" w:hAnsi="Arial" w:eastAsia="Arial" w:cs="Arial"/>
      <w:i/>
      <w:iCs/>
      <w:sz w:val="22"/>
      <w:szCs w:val="22"/>
    </w:rPr>
  </w:style>
  <w:style w:type="paragraph" w:styleId="769">
    <w:name w:val="Heading 9"/>
    <w:basedOn w:val="926"/>
    <w:next w:val="926"/>
    <w:link w:val="770"/>
    <w:uiPriority w:val="9"/>
    <w:unhideWhenUsed/>
    <w:qFormat/>
    <w:pPr>
      <w:keepNext w:val="true"/>
      <w:keepLines w:val="true"/>
      <w:pBdr/>
      <w:spacing w:after="200" w:before="320"/>
      <w:ind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70">
    <w:name w:val="Heading 9 Char"/>
    <w:basedOn w:val="929"/>
    <w:link w:val="769"/>
    <w:uiPriority w:val="9"/>
    <w:pPr>
      <w:pBdr/>
      <w:spacing/>
      <w:ind/>
    </w:pPr>
    <w:rPr>
      <w:rFonts w:ascii="Arial" w:hAnsi="Arial" w:eastAsia="Arial" w:cs="Arial"/>
      <w:i/>
      <w:iCs/>
      <w:sz w:val="21"/>
      <w:szCs w:val="21"/>
    </w:rPr>
  </w:style>
  <w:style w:type="paragraph" w:styleId="771">
    <w:name w:val="Title"/>
    <w:basedOn w:val="926"/>
    <w:next w:val="926"/>
    <w:link w:val="772"/>
    <w:uiPriority w:val="10"/>
    <w:qFormat/>
    <w:pPr>
      <w:pBdr/>
      <w:spacing w:after="200" w:before="300"/>
      <w:ind/>
      <w:contextualSpacing w:val="true"/>
    </w:pPr>
    <w:rPr>
      <w:sz w:val="48"/>
      <w:szCs w:val="48"/>
    </w:rPr>
  </w:style>
  <w:style w:type="character" w:styleId="772">
    <w:name w:val="Title Char"/>
    <w:basedOn w:val="929"/>
    <w:link w:val="771"/>
    <w:uiPriority w:val="10"/>
    <w:pPr>
      <w:pBdr/>
      <w:spacing/>
      <w:ind/>
    </w:pPr>
    <w:rPr>
      <w:sz w:val="48"/>
      <w:szCs w:val="48"/>
    </w:rPr>
  </w:style>
  <w:style w:type="character" w:styleId="773">
    <w:name w:val="Subtitle Char"/>
    <w:basedOn w:val="929"/>
    <w:link w:val="933"/>
    <w:uiPriority w:val="11"/>
    <w:pPr>
      <w:pBdr/>
      <w:spacing/>
      <w:ind/>
    </w:pPr>
    <w:rPr>
      <w:sz w:val="24"/>
      <w:szCs w:val="24"/>
    </w:rPr>
  </w:style>
  <w:style w:type="paragraph" w:styleId="774">
    <w:name w:val="Quote"/>
    <w:basedOn w:val="926"/>
    <w:next w:val="926"/>
    <w:link w:val="775"/>
    <w:uiPriority w:val="29"/>
    <w:qFormat/>
    <w:pPr>
      <w:pBdr/>
      <w:spacing/>
      <w:ind w:right="720" w:left="720"/>
    </w:pPr>
    <w:rPr>
      <w:i/>
    </w:rPr>
  </w:style>
  <w:style w:type="character" w:styleId="775">
    <w:name w:val="Quote Char"/>
    <w:link w:val="774"/>
    <w:uiPriority w:val="29"/>
    <w:pPr>
      <w:pBdr/>
      <w:spacing/>
      <w:ind/>
    </w:pPr>
    <w:rPr>
      <w:i/>
    </w:rPr>
  </w:style>
  <w:style w:type="paragraph" w:styleId="776">
    <w:name w:val="Intense Quote"/>
    <w:basedOn w:val="926"/>
    <w:next w:val="926"/>
    <w:link w:val="777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/>
      <w:ind w:right="720" w:left="720"/>
      <w:contextualSpacing w:val="false"/>
    </w:pPr>
    <w:rPr>
      <w:i/>
    </w:rPr>
  </w:style>
  <w:style w:type="character" w:styleId="777">
    <w:name w:val="Intense Quote Char"/>
    <w:link w:val="776"/>
    <w:uiPriority w:val="30"/>
    <w:pPr>
      <w:pBdr/>
      <w:spacing/>
      <w:ind/>
    </w:pPr>
    <w:rPr>
      <w:i/>
    </w:rPr>
  </w:style>
  <w:style w:type="paragraph" w:styleId="778">
    <w:name w:val="Header"/>
    <w:basedOn w:val="926"/>
    <w:link w:val="779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79">
    <w:name w:val="Header Char"/>
    <w:basedOn w:val="929"/>
    <w:link w:val="778"/>
    <w:uiPriority w:val="99"/>
    <w:pPr>
      <w:pBdr/>
      <w:spacing/>
      <w:ind/>
    </w:pPr>
  </w:style>
  <w:style w:type="paragraph" w:styleId="780">
    <w:name w:val="Footer"/>
    <w:basedOn w:val="926"/>
    <w:link w:val="783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81">
    <w:name w:val="Footer Char"/>
    <w:basedOn w:val="929"/>
    <w:link w:val="780"/>
    <w:uiPriority w:val="99"/>
    <w:pPr>
      <w:pBdr/>
      <w:spacing/>
      <w:ind/>
    </w:pPr>
  </w:style>
  <w:style w:type="paragraph" w:styleId="782">
    <w:name w:val="Caption"/>
    <w:basedOn w:val="926"/>
    <w:next w:val="926"/>
    <w:uiPriority w:val="35"/>
    <w:semiHidden/>
    <w:unhideWhenUsed/>
    <w:qFormat/>
    <w:pPr>
      <w:pBdr/>
      <w:spacing w:line="276" w:lineRule="auto"/>
      <w:ind/>
    </w:pPr>
    <w:rPr>
      <w:b/>
      <w:bCs/>
      <w:color w:val="4f81bd" w:themeColor="accent1"/>
      <w:sz w:val="18"/>
      <w:szCs w:val="18"/>
    </w:rPr>
  </w:style>
  <w:style w:type="character" w:styleId="783">
    <w:name w:val="Caption Char"/>
    <w:basedOn w:val="782"/>
    <w:link w:val="780"/>
    <w:uiPriority w:val="99"/>
    <w:pPr>
      <w:pBdr/>
      <w:spacing/>
      <w:ind/>
    </w:pPr>
  </w:style>
  <w:style w:type="table" w:styleId="784">
    <w:name w:val="Table Grid Light"/>
    <w:basedOn w:val="930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Plain Table 1"/>
    <w:basedOn w:val="930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Plain Table 2"/>
    <w:basedOn w:val="930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Plain Table 3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Plain Table 4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Plain Table 5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Grid Table 1 Light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Grid Table 1 Light - Accent 1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Grid Table 1 Light - Accent 2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Grid Table 1 Light - Accent 3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Grid Table 1 Light - Accent 4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Grid Table 1 Light - Accent 5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Grid Table 1 Light - Accent 6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Grid Table 2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Grid Table 2 - Accent 1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Grid Table 2 - Accent 2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Grid Table 2 - Accent 3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Grid Table 2 - Accent 4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Grid Table 2 - Accent 5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Grid Table 2 - Accent 6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Grid Table 3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Grid Table 3 - Accent 1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Grid Table 3 - Accent 2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Grid Table 3 - Accent 3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Grid Table 3 - Accent 4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Grid Table 3 - Accent 5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Grid Table 3 - Accent 6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Grid Table 4"/>
    <w:basedOn w:val="93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Grid Table 4 - Accent 1"/>
    <w:basedOn w:val="93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ae3f3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ae3f3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Grid Table 4 - Accent 2"/>
    <w:basedOn w:val="93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Grid Table 4 - Accent 3"/>
    <w:basedOn w:val="93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Grid Table 4 - Accent 4"/>
    <w:basedOn w:val="93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Grid Table 4 - Accent 5"/>
    <w:basedOn w:val="93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Grid Table 4 - Accent 6"/>
    <w:basedOn w:val="93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Grid Table 5 Dark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Grid Table 5 Dark- Accent 1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abfe3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abfe3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Grid Table 5 Dark - Accent 2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6c3a1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6c3a1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Grid Table 5 Dark - Accent 3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Grid Table 5 Dark- Accent 4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ee189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ee189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Grid Table 5 Dark - Accent 5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b4d2eb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b4d2eb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Grid Table 5 Dark - Accent 6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e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e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Grid Table 6 Colorful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Grid Table 6 Colorful - Accent 1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9e2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664a9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664a9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664a9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Grid Table 6 Colorful - Accent 2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Grid Table 6 Colorful - Accent 3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Grid Table 6 Colorful - Accent 4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Grid Table 6 Colorful - Accent 5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d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d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d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Grid Table 6 Colorful - Accent 6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d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d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d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Grid Table 7 Colorful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Grid Table 7 Colorful - Accent 1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664a9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9e2f2" w:themeFill="accent1" w:themeFillTint="34"/>
        <w:tcBorders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Grid Table 7 Colorful - Accent 2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Grid Table 7 Colorful - Accent 3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Grid Table 7 Colorful - Accent 4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Grid Table 7 Colorful - Accent 5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45d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band2Horz">
      <w:rPr>
        <w:rFonts w:ascii="Arial" w:hAnsi="Arial"/>
        <w:color w:val="245d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Grid Table 7 Colorful - Accent 6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rPr>
        <w:rFonts w:ascii="Arial" w:hAnsi="Arial"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st Table 1 Light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st Table 1 Light - Accent 1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cf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cf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st Table 1 Light - Accent 2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st Table 1 Light - Accent 3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st Table 1 Light - Accent 4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List Table 1 Light - Accent 5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5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5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List Table 1 Light - Accent 6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List Table 2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List Table 2 - Accent 1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cfdc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cf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List Table 2 - Accent 2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List Table 2 - Accent 3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List Table 2 - Accent 4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List Table 2 - Accent 5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5e6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5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List Table 2 - Accent 6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List Table 3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List Table 3 - Accent 1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List Table 3 - Accent 2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List Table 3 - Accent 3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List Table 3 - Accent 4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List Table 3 - Accent 5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cc4e5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List Table 3 - Accent 6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List Table 4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List Table 4 - Accent 1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cfdc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cf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List Table 4 - Accent 2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List Table 4 - Accent 3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List Table 4 - Accent 4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List Table 4 - Accent 5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5e6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5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List Table 4 - Accent 6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List Table 5 Dark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8">
    <w:name w:val="List Table 5 Dark - Accent 1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9">
    <w:name w:val="List Table 5 Dark - Accent 2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0">
    <w:name w:val="List Table 5 Dark - Accent 3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1">
    <w:name w:val="List Table 5 Dark - Accent 4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2">
    <w:name w:val="List Table 5 Dark - Accent 5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3">
    <w:name w:val="List Table 5 Dark - Accent 6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4">
    <w:name w:val="List Table 6 Colorful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5">
    <w:name w:val="List Table 6 Colorful - Accent 1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cf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cfdcf0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374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374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374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6">
    <w:name w:val="List Table 6 Colorful - Accent 2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7">
    <w:name w:val="List Table 6 Colorful - Accent 3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>
    <w:name w:val="List Table 6 Colorful - Accent 4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9">
    <w:name w:val="List Table 6 Colorful - Accent 5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5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5e6f4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e78b1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e78b1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e78b1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0">
    <w:name w:val="List Table 6 Colorful - Accent 6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1">
    <w:name w:val="List Table 7 Colorful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2">
    <w:name w:val="List Table 7 Colorful - Accent 1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54374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cf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cfdcf0" w:themeFill="accent1" w:themeFillTint="40"/>
        <w:tcBorders/>
      </w:tcPr>
    </w:tblStylePr>
    <w:tblStylePr w:type="band2Horz">
      <w:rPr>
        <w:rFonts w:ascii="Arial" w:hAnsi="Arial"/>
        <w:color w:val="254374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54374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3">
    <w:name w:val="List Table 7 Colorful - Accent 2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4">
    <w:name w:val="List Table 7 Colorful - Accent 3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5">
    <w:name w:val="List Table 7 Colorful - Accent 4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6">
    <w:name w:val="List Table 7 Colorful - Accent 5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2e78b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5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5e6f4" w:themeFill="accent5" w:themeFillTint="40"/>
        <w:tcBorders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7">
    <w:name w:val="List Table 7 Colorful - Accent 6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8">
    <w:name w:val="Lined - Accent"/>
    <w:basedOn w:val="9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9">
    <w:name w:val="Lined - Accent 1"/>
    <w:basedOn w:val="9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3d3ec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3d3ec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fc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fc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fc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fc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0">
    <w:name w:val="Lined - Accent 2"/>
    <w:basedOn w:val="9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1">
    <w:name w:val="Lined - Accent 3"/>
    <w:basedOn w:val="9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2">
    <w:name w:val="Lined - Accent 4"/>
    <w:basedOn w:val="9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3">
    <w:name w:val="Lined - Accent 5"/>
    <w:basedOn w:val="9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4">
    <w:name w:val="Lined - Accent 6"/>
    <w:basedOn w:val="9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5">
    <w:name w:val="Bordered &amp; Lined - Accent"/>
    <w:basedOn w:val="9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6">
    <w:name w:val="Bordered &amp; Lined - Accent 1"/>
    <w:basedOn w:val="9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3d3ec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3d3ec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fc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fc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fc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fc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7">
    <w:name w:val="Bordered &amp; Lined - Accent 2"/>
    <w:basedOn w:val="9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8">
    <w:name w:val="Bordered &amp; Lined - Accent 3"/>
    <w:basedOn w:val="9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9">
    <w:name w:val="Bordered &amp; Lined - Accent 4"/>
    <w:basedOn w:val="9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0">
    <w:name w:val="Bordered &amp; Lined - Accent 5"/>
    <w:basedOn w:val="9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1">
    <w:name w:val="Bordered &amp; Lined - Accent 6"/>
    <w:basedOn w:val="9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2">
    <w:name w:val="Bordered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3">
    <w:name w:val="Bordered - Accent 1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4">
    <w:name w:val="Bordered - Accent 2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5">
    <w:name w:val="Bordered - Accent 3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6">
    <w:name w:val="Bordered - Accent 4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7">
    <w:name w:val="Bordered - Accent 5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8">
    <w:name w:val="Bordered - Accent 6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909">
    <w:name w:val="footnote text"/>
    <w:basedOn w:val="926"/>
    <w:link w:val="910"/>
    <w:uiPriority w:val="99"/>
    <w:semiHidden/>
    <w:unhideWhenUsed/>
    <w:pPr>
      <w:pBdr/>
      <w:spacing w:after="40" w:line="240" w:lineRule="auto"/>
      <w:ind/>
    </w:pPr>
    <w:rPr>
      <w:sz w:val="18"/>
    </w:rPr>
  </w:style>
  <w:style w:type="character" w:styleId="910">
    <w:name w:val="Footnote Text Char"/>
    <w:link w:val="909"/>
    <w:uiPriority w:val="99"/>
    <w:pPr>
      <w:pBdr/>
      <w:spacing/>
      <w:ind/>
    </w:pPr>
    <w:rPr>
      <w:sz w:val="18"/>
    </w:rPr>
  </w:style>
  <w:style w:type="character" w:styleId="911">
    <w:name w:val="footnote reference"/>
    <w:basedOn w:val="929"/>
    <w:uiPriority w:val="99"/>
    <w:unhideWhenUsed/>
    <w:pPr>
      <w:pBdr/>
      <w:spacing/>
      <w:ind/>
    </w:pPr>
    <w:rPr>
      <w:vertAlign w:val="superscript"/>
    </w:rPr>
  </w:style>
  <w:style w:type="paragraph" w:styleId="912">
    <w:name w:val="endnote text"/>
    <w:basedOn w:val="926"/>
    <w:link w:val="913"/>
    <w:uiPriority w:val="99"/>
    <w:semiHidden/>
    <w:unhideWhenUsed/>
    <w:pPr>
      <w:pBdr/>
      <w:spacing w:after="0" w:line="240" w:lineRule="auto"/>
      <w:ind/>
    </w:pPr>
    <w:rPr>
      <w:sz w:val="20"/>
    </w:rPr>
  </w:style>
  <w:style w:type="character" w:styleId="913">
    <w:name w:val="Endnote Text Char"/>
    <w:link w:val="912"/>
    <w:uiPriority w:val="99"/>
    <w:pPr>
      <w:pBdr/>
      <w:spacing/>
      <w:ind/>
    </w:pPr>
    <w:rPr>
      <w:sz w:val="20"/>
    </w:rPr>
  </w:style>
  <w:style w:type="character" w:styleId="914">
    <w:name w:val="endnote reference"/>
    <w:basedOn w:val="929"/>
    <w:uiPriority w:val="99"/>
    <w:semiHidden/>
    <w:unhideWhenUsed/>
    <w:pPr>
      <w:pBdr/>
      <w:spacing/>
      <w:ind/>
    </w:pPr>
    <w:rPr>
      <w:vertAlign w:val="superscript"/>
    </w:rPr>
  </w:style>
  <w:style w:type="paragraph" w:styleId="915">
    <w:name w:val="toc 1"/>
    <w:basedOn w:val="926"/>
    <w:next w:val="926"/>
    <w:uiPriority w:val="39"/>
    <w:unhideWhenUsed/>
    <w:pPr>
      <w:pBdr/>
      <w:spacing w:after="57"/>
      <w:ind w:right="0" w:firstLine="0" w:left="0"/>
    </w:pPr>
  </w:style>
  <w:style w:type="paragraph" w:styleId="916">
    <w:name w:val="toc 2"/>
    <w:basedOn w:val="926"/>
    <w:next w:val="926"/>
    <w:uiPriority w:val="39"/>
    <w:unhideWhenUsed/>
    <w:pPr>
      <w:pBdr/>
      <w:spacing w:after="57"/>
      <w:ind w:right="0" w:firstLine="0" w:left="283"/>
    </w:pPr>
  </w:style>
  <w:style w:type="paragraph" w:styleId="917">
    <w:name w:val="toc 3"/>
    <w:basedOn w:val="926"/>
    <w:next w:val="926"/>
    <w:uiPriority w:val="39"/>
    <w:unhideWhenUsed/>
    <w:pPr>
      <w:pBdr/>
      <w:spacing w:after="57"/>
      <w:ind w:right="0" w:firstLine="0" w:left="567"/>
    </w:pPr>
  </w:style>
  <w:style w:type="paragraph" w:styleId="918">
    <w:name w:val="toc 4"/>
    <w:basedOn w:val="926"/>
    <w:next w:val="926"/>
    <w:uiPriority w:val="39"/>
    <w:unhideWhenUsed/>
    <w:pPr>
      <w:pBdr/>
      <w:spacing w:after="57"/>
      <w:ind w:right="0" w:firstLine="0" w:left="850"/>
    </w:pPr>
  </w:style>
  <w:style w:type="paragraph" w:styleId="919">
    <w:name w:val="toc 5"/>
    <w:basedOn w:val="926"/>
    <w:next w:val="926"/>
    <w:uiPriority w:val="39"/>
    <w:unhideWhenUsed/>
    <w:pPr>
      <w:pBdr/>
      <w:spacing w:after="57"/>
      <w:ind w:right="0" w:firstLine="0" w:left="1134"/>
    </w:pPr>
  </w:style>
  <w:style w:type="paragraph" w:styleId="920">
    <w:name w:val="toc 6"/>
    <w:basedOn w:val="926"/>
    <w:next w:val="926"/>
    <w:uiPriority w:val="39"/>
    <w:unhideWhenUsed/>
    <w:pPr>
      <w:pBdr/>
      <w:spacing w:after="57"/>
      <w:ind w:right="0" w:firstLine="0" w:left="1417"/>
    </w:pPr>
  </w:style>
  <w:style w:type="paragraph" w:styleId="921">
    <w:name w:val="toc 7"/>
    <w:basedOn w:val="926"/>
    <w:next w:val="926"/>
    <w:uiPriority w:val="39"/>
    <w:unhideWhenUsed/>
    <w:pPr>
      <w:pBdr/>
      <w:spacing w:after="57"/>
      <w:ind w:right="0" w:firstLine="0" w:left="1701"/>
    </w:pPr>
  </w:style>
  <w:style w:type="paragraph" w:styleId="922">
    <w:name w:val="toc 8"/>
    <w:basedOn w:val="926"/>
    <w:next w:val="926"/>
    <w:uiPriority w:val="39"/>
    <w:unhideWhenUsed/>
    <w:pPr>
      <w:pBdr/>
      <w:spacing w:after="57"/>
      <w:ind w:right="0" w:firstLine="0" w:left="1984"/>
    </w:pPr>
  </w:style>
  <w:style w:type="paragraph" w:styleId="923">
    <w:name w:val="toc 9"/>
    <w:basedOn w:val="926"/>
    <w:next w:val="926"/>
    <w:uiPriority w:val="39"/>
    <w:unhideWhenUsed/>
    <w:pPr>
      <w:pBdr/>
      <w:spacing w:after="57"/>
      <w:ind w:right="0" w:firstLine="0" w:left="2268"/>
    </w:pPr>
  </w:style>
  <w:style w:type="paragraph" w:styleId="924">
    <w:name w:val="TOC Heading"/>
    <w:uiPriority w:val="39"/>
    <w:unhideWhenUsed/>
    <w:pPr>
      <w:pBdr/>
      <w:spacing/>
      <w:ind/>
    </w:pPr>
  </w:style>
  <w:style w:type="paragraph" w:styleId="925">
    <w:name w:val="table of figures"/>
    <w:basedOn w:val="926"/>
    <w:next w:val="926"/>
    <w:uiPriority w:val="99"/>
    <w:unhideWhenUsed/>
    <w:pPr>
      <w:pBdr/>
      <w:spacing w:after="0" w:afterAutospacing="0"/>
      <w:ind/>
    </w:pPr>
  </w:style>
  <w:style w:type="paragraph" w:styleId="926" w:default="1">
    <w:name w:val="Normal"/>
    <w:qFormat/>
    <w:pPr>
      <w:pBdr/>
      <w:spacing/>
      <w:ind/>
    </w:pPr>
  </w:style>
  <w:style w:type="paragraph" w:styleId="927">
    <w:name w:val="Heading 2"/>
    <w:basedOn w:val="926"/>
    <w:next w:val="926"/>
    <w:link w:val="964"/>
    <w:unhideWhenUsed/>
    <w:qFormat/>
    <w:pPr>
      <w:keepNext w:val="true"/>
      <w:pBdr/>
      <w:spacing w:after="60" w:before="240"/>
      <w:ind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928">
    <w:name w:val="Heading 3"/>
    <w:basedOn w:val="926"/>
    <w:next w:val="926"/>
    <w:link w:val="941"/>
    <w:qFormat/>
    <w:pPr>
      <w:keepNext w:val="true"/>
      <w:pBdr/>
      <w:spacing w:after="60" w:before="240"/>
      <w:ind w:hanging="720" w:left="720"/>
      <w:jc w:val="center"/>
      <w:outlineLvl w:val="2"/>
    </w:pPr>
    <w:rPr>
      <w:rFonts w:ascii="Calibri" w:hAnsi="Calibri" w:eastAsia="Calibri" w:cs="Calibri"/>
      <w:b/>
      <w:bCs/>
      <w:sz w:val="28"/>
      <w:szCs w:val="28"/>
    </w:rPr>
  </w:style>
  <w:style w:type="character" w:styleId="929" w:default="1">
    <w:name w:val="Default Paragraph Font"/>
    <w:uiPriority w:val="1"/>
    <w:semiHidden/>
    <w:unhideWhenUsed/>
    <w:pPr>
      <w:pBdr/>
      <w:spacing/>
      <w:ind/>
    </w:pPr>
  </w:style>
  <w:style w:type="table" w:styleId="930" w:default="1">
    <w:name w:val="Normal Table"/>
    <w:uiPriority w:val="99"/>
    <w:semiHidden/>
    <w:unhideWhenUsed/>
    <w:pPr>
      <w:pBdr/>
      <w:spacing/>
      <w:ind/>
    </w:pPr>
    <w:tblPr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31" w:default="1">
    <w:name w:val="No List"/>
    <w:uiPriority w:val="99"/>
    <w:semiHidden/>
    <w:unhideWhenUsed/>
    <w:pPr>
      <w:pBdr/>
      <w:spacing/>
      <w:ind/>
    </w:pPr>
  </w:style>
  <w:style w:type="paragraph" w:styleId="932">
    <w:name w:val="Plain Text"/>
    <w:basedOn w:val="926"/>
    <w:pPr>
      <w:pBdr/>
      <w:spacing/>
      <w:ind/>
    </w:pPr>
    <w:rPr>
      <w:rFonts w:ascii="Courier New" w:hAnsi="Courier New"/>
    </w:rPr>
  </w:style>
  <w:style w:type="paragraph" w:styleId="933">
    <w:name w:val="Subtitle"/>
    <w:basedOn w:val="926"/>
    <w:qFormat/>
    <w:pPr>
      <w:pBdr/>
      <w:spacing/>
      <w:ind/>
      <w:jc w:val="both"/>
    </w:pPr>
    <w:rPr>
      <w:sz w:val="24"/>
    </w:rPr>
  </w:style>
  <w:style w:type="character" w:styleId="934">
    <w:name w:val="Hyperlink"/>
    <w:pPr>
      <w:pBdr/>
      <w:spacing/>
      <w:ind/>
    </w:pPr>
    <w:rPr>
      <w:color w:val="0000ff"/>
      <w:u w:val="single"/>
    </w:rPr>
  </w:style>
  <w:style w:type="paragraph" w:styleId="935">
    <w:name w:val="Balloon Text"/>
    <w:basedOn w:val="926"/>
    <w:link w:val="936"/>
    <w:pPr>
      <w:pBdr/>
      <w:spacing/>
      <w:ind/>
    </w:pPr>
    <w:rPr>
      <w:rFonts w:ascii="Tahoma" w:hAnsi="Tahoma" w:cs="Tahoma"/>
      <w:sz w:val="16"/>
      <w:szCs w:val="16"/>
    </w:rPr>
  </w:style>
  <w:style w:type="character" w:styleId="936" w:customStyle="1">
    <w:name w:val="Текст выноски Знак"/>
    <w:link w:val="935"/>
    <w:pPr>
      <w:pBdr/>
      <w:spacing/>
      <w:ind/>
    </w:pPr>
    <w:rPr>
      <w:rFonts w:ascii="Tahoma" w:hAnsi="Tahoma" w:cs="Tahoma"/>
      <w:sz w:val="16"/>
      <w:szCs w:val="16"/>
    </w:rPr>
  </w:style>
  <w:style w:type="paragraph" w:styleId="937" w:customStyle="1">
    <w:name w:val="ConsPlusNormal"/>
    <w:link w:val="958"/>
    <w:pPr>
      <w:pBdr/>
      <w:spacing/>
      <w:ind/>
    </w:pPr>
    <w:rPr>
      <w:sz w:val="22"/>
      <w:szCs w:val="22"/>
    </w:rPr>
  </w:style>
  <w:style w:type="paragraph" w:styleId="938" w:customStyle="1">
    <w:name w:val="Char Знак"/>
    <w:basedOn w:val="926"/>
    <w:pPr>
      <w:pBdr/>
      <w:spacing w:after="100" w:afterAutospacing="1" w:before="100" w:beforeAutospacing="1"/>
      <w:ind/>
    </w:pPr>
    <w:rPr>
      <w:rFonts w:ascii="Tahoma" w:hAnsi="Tahoma"/>
      <w:lang w:val="en-US" w:eastAsia="en-US"/>
    </w:rPr>
  </w:style>
  <w:style w:type="paragraph" w:styleId="939">
    <w:name w:val="Body Text 2"/>
    <w:basedOn w:val="926"/>
    <w:link w:val="940"/>
    <w:pPr>
      <w:pBdr/>
      <w:spacing/>
      <w:ind/>
      <w:jc w:val="center"/>
    </w:pPr>
    <w:rPr>
      <w:rFonts w:ascii="Arial" w:hAnsi="Arial" w:cs="Arial"/>
      <w:color w:val="000000"/>
      <w:sz w:val="28"/>
      <w:szCs w:val="28"/>
    </w:rPr>
  </w:style>
  <w:style w:type="character" w:styleId="940" w:customStyle="1">
    <w:name w:val="Основной текст 2 Знак"/>
    <w:link w:val="939"/>
    <w:pPr>
      <w:pBdr/>
      <w:spacing/>
      <w:ind/>
    </w:pPr>
    <w:rPr>
      <w:rFonts w:ascii="Arial" w:hAnsi="Arial" w:cs="Arial"/>
      <w:color w:val="000000"/>
      <w:sz w:val="28"/>
      <w:szCs w:val="28"/>
      <w:lang w:val="ru-RU" w:eastAsia="ru-RU" w:bidi="ar-SA"/>
    </w:rPr>
  </w:style>
  <w:style w:type="character" w:styleId="941" w:customStyle="1">
    <w:name w:val="Заголовок 3 Знак"/>
    <w:link w:val="928"/>
    <w:pPr>
      <w:pBdr/>
      <w:spacing/>
      <w:ind/>
    </w:pPr>
    <w:rPr>
      <w:rFonts w:ascii="Calibri" w:hAnsi="Calibri" w:eastAsia="Calibri" w:cs="Calibri"/>
      <w:b/>
      <w:bCs/>
      <w:sz w:val="28"/>
      <w:szCs w:val="28"/>
      <w:lang w:val="ru-RU" w:eastAsia="ru-RU" w:bidi="ar-SA"/>
    </w:rPr>
  </w:style>
  <w:style w:type="paragraph" w:styleId="942" w:customStyle="1">
    <w:name w:val="Абзац списка1"/>
    <w:basedOn w:val="926"/>
    <w:pPr>
      <w:pBdr/>
      <w:spacing/>
      <w:ind w:left="720"/>
    </w:pPr>
    <w:rPr>
      <w:rFonts w:ascii="Calibri" w:hAnsi="Calibri" w:eastAsia="Calibri" w:cs="Calibri"/>
      <w:sz w:val="24"/>
      <w:szCs w:val="24"/>
    </w:rPr>
  </w:style>
  <w:style w:type="paragraph" w:styleId="943" w:customStyle="1">
    <w:name w:val="Табличный_заголовки"/>
    <w:basedOn w:val="926"/>
    <w:pPr>
      <w:keepNext w:val="true"/>
      <w:keepLines w:val="true"/>
      <w:pBdr/>
      <w:spacing/>
      <w:ind/>
      <w:jc w:val="center"/>
    </w:pPr>
    <w:rPr>
      <w:rFonts w:ascii="Calibri" w:hAnsi="Calibri" w:eastAsia="Calibri" w:cs="Calibri"/>
      <w:b/>
      <w:bCs/>
    </w:rPr>
  </w:style>
  <w:style w:type="paragraph" w:styleId="944" w:customStyle="1">
    <w:name w:val="Char Знак"/>
    <w:basedOn w:val="926"/>
    <w:pPr>
      <w:pBdr/>
      <w:spacing w:after="100" w:afterAutospacing="1" w:before="100" w:beforeAutospacing="1"/>
      <w:ind/>
    </w:pPr>
    <w:rPr>
      <w:rFonts w:ascii="Tahoma" w:hAnsi="Tahoma" w:cs="Tahoma"/>
      <w:lang w:val="en-US" w:eastAsia="en-US"/>
    </w:rPr>
  </w:style>
  <w:style w:type="paragraph" w:styleId="945" w:customStyle="1">
    <w:name w:val="Без интервала1"/>
    <w:link w:val="946"/>
    <w:pPr>
      <w:pBdr/>
      <w:spacing/>
      <w:ind/>
    </w:pPr>
    <w:rPr>
      <w:rFonts w:ascii="Calibri" w:hAnsi="Calibri"/>
      <w:sz w:val="24"/>
      <w:szCs w:val="24"/>
    </w:rPr>
  </w:style>
  <w:style w:type="character" w:styleId="946" w:customStyle="1">
    <w:name w:val="Без интервала Знак"/>
    <w:link w:val="945"/>
    <w:pPr>
      <w:pBdr/>
      <w:spacing/>
      <w:ind/>
    </w:pPr>
    <w:rPr>
      <w:rFonts w:ascii="Calibri" w:hAnsi="Calibri"/>
      <w:sz w:val="24"/>
      <w:szCs w:val="24"/>
      <w:lang w:val="ru-RU" w:eastAsia="ru-RU" w:bidi="ar-SA"/>
    </w:rPr>
  </w:style>
  <w:style w:type="table" w:styleId="947">
    <w:name w:val="Table Grid"/>
    <w:basedOn w:val="930"/>
    <w:uiPriority w:val="39"/>
    <w:pPr>
      <w:pBdr/>
      <w:spacing/>
      <w:ind/>
    </w:pPr>
    <w:rPr>
      <w:rFonts w:ascii="Calibri" w:hAnsi="Calibri" w:cs="Calibri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948">
    <w:name w:val="Emphasis"/>
    <w:qFormat/>
    <w:pPr>
      <w:pBdr/>
      <w:spacing/>
      <w:ind/>
    </w:pPr>
    <w:rPr>
      <w:rFonts w:cs="Times New Roman"/>
      <w:i/>
      <w:iCs/>
    </w:rPr>
  </w:style>
  <w:style w:type="character" w:styleId="949" w:customStyle="1">
    <w:name w:val="ecattext"/>
    <w:pPr>
      <w:pBdr/>
      <w:spacing/>
      <w:ind/>
    </w:pPr>
    <w:rPr>
      <w:rFonts w:cs="Times New Roman"/>
    </w:rPr>
  </w:style>
  <w:style w:type="paragraph" w:styleId="950">
    <w:name w:val="Body Text Indent 2"/>
    <w:basedOn w:val="926"/>
    <w:pPr>
      <w:pBdr/>
      <w:spacing w:after="120" w:line="480" w:lineRule="auto"/>
      <w:ind w:left="283"/>
    </w:pPr>
  </w:style>
  <w:style w:type="character" w:styleId="951">
    <w:name w:val="annotation reference"/>
    <w:semiHidden/>
    <w:pPr>
      <w:pBdr/>
      <w:spacing/>
      <w:ind/>
    </w:pPr>
    <w:rPr>
      <w:sz w:val="16"/>
      <w:szCs w:val="16"/>
    </w:rPr>
  </w:style>
  <w:style w:type="paragraph" w:styleId="952">
    <w:name w:val="annotation text"/>
    <w:basedOn w:val="926"/>
    <w:link w:val="960"/>
    <w:semiHidden/>
    <w:pPr>
      <w:pBdr/>
      <w:spacing/>
      <w:ind/>
    </w:pPr>
  </w:style>
  <w:style w:type="paragraph" w:styleId="953">
    <w:name w:val="annotation subject"/>
    <w:basedOn w:val="952"/>
    <w:next w:val="952"/>
    <w:semiHidden/>
    <w:pPr>
      <w:pBdr/>
      <w:spacing/>
      <w:ind/>
    </w:pPr>
    <w:rPr>
      <w:b/>
      <w:bCs/>
    </w:rPr>
  </w:style>
  <w:style w:type="character" w:styleId="954" w:customStyle="1">
    <w:name w:val="blk"/>
    <w:pPr>
      <w:pBdr/>
      <w:spacing/>
      <w:ind/>
    </w:pPr>
    <w:rPr>
      <w:rFonts w:cs="Times New Roman"/>
    </w:rPr>
  </w:style>
  <w:style w:type="paragraph" w:styleId="955" w:customStyle="1">
    <w:name w:val="_абзац"/>
    <w:basedOn w:val="926"/>
    <w:link w:val="959"/>
    <w:pPr>
      <w:pBdr/>
      <w:spacing w:line="276" w:lineRule="auto"/>
      <w:ind w:firstLine="709"/>
      <w:jc w:val="both"/>
    </w:pPr>
    <w:rPr>
      <w:rFonts w:ascii="Calibri" w:hAnsi="Calibri" w:cs="Calibri"/>
      <w:sz w:val="24"/>
      <w:szCs w:val="24"/>
    </w:rPr>
  </w:style>
  <w:style w:type="paragraph" w:styleId="956" w:customStyle="1">
    <w:name w:val="Абзац"/>
    <w:basedOn w:val="926"/>
    <w:link w:val="957"/>
    <w:pPr>
      <w:pBdr/>
      <w:spacing w:after="60" w:before="120"/>
      <w:ind w:firstLine="567"/>
      <w:jc w:val="both"/>
    </w:pPr>
    <w:rPr>
      <w:rFonts w:ascii="Calibri" w:hAnsi="Calibri" w:cs="Calibri"/>
      <w:sz w:val="24"/>
      <w:szCs w:val="24"/>
    </w:rPr>
  </w:style>
  <w:style w:type="character" w:styleId="957" w:customStyle="1">
    <w:name w:val="Абзац Знак"/>
    <w:link w:val="956"/>
    <w:pPr>
      <w:pBdr/>
      <w:spacing/>
      <w:ind/>
    </w:pPr>
    <w:rPr>
      <w:rFonts w:ascii="Calibri" w:hAnsi="Calibri" w:cs="Calibri"/>
      <w:sz w:val="24"/>
      <w:szCs w:val="24"/>
      <w:lang w:val="ru-RU" w:eastAsia="ru-RU" w:bidi="ar-SA"/>
    </w:rPr>
  </w:style>
  <w:style w:type="character" w:styleId="958" w:customStyle="1">
    <w:name w:val="ConsPlusNormal Знак"/>
    <w:link w:val="937"/>
    <w:pPr>
      <w:pBdr/>
      <w:spacing/>
      <w:ind/>
    </w:pPr>
    <w:rPr>
      <w:sz w:val="22"/>
      <w:szCs w:val="22"/>
      <w:lang w:val="ru-RU" w:eastAsia="ru-RU" w:bidi="ar-SA"/>
    </w:rPr>
  </w:style>
  <w:style w:type="character" w:styleId="959" w:customStyle="1">
    <w:name w:val="_абзац Знак"/>
    <w:link w:val="955"/>
    <w:pPr>
      <w:pBdr/>
      <w:spacing/>
      <w:ind/>
    </w:pPr>
    <w:rPr>
      <w:rFonts w:ascii="Calibri" w:hAnsi="Calibri" w:cs="Calibri"/>
      <w:sz w:val="24"/>
      <w:szCs w:val="24"/>
      <w:lang w:val="ru-RU" w:eastAsia="ru-RU" w:bidi="ar-SA"/>
    </w:rPr>
  </w:style>
  <w:style w:type="character" w:styleId="960" w:customStyle="1">
    <w:name w:val="Текст примечания Знак"/>
    <w:link w:val="952"/>
    <w:semiHidden/>
    <w:pPr>
      <w:pBdr/>
      <w:spacing/>
      <w:ind/>
    </w:pPr>
    <w:rPr>
      <w:lang w:val="ru-RU" w:eastAsia="ru-RU" w:bidi="ar-SA"/>
    </w:rPr>
  </w:style>
  <w:style w:type="paragraph" w:styleId="961" w:customStyle="1">
    <w:name w:val="Heading"/>
    <w:pPr>
      <w:pBdr/>
      <w:spacing/>
      <w:ind/>
    </w:pPr>
    <w:rPr>
      <w:rFonts w:ascii="Arial" w:hAnsi="Arial" w:cs="Arial"/>
      <w:b/>
      <w:bCs/>
      <w:sz w:val="22"/>
      <w:szCs w:val="22"/>
    </w:rPr>
  </w:style>
  <w:style w:type="paragraph" w:styleId="962">
    <w:name w:val="No Spacing"/>
    <w:qFormat/>
    <w:pPr>
      <w:pBdr/>
      <w:spacing/>
      <w:ind/>
    </w:pPr>
    <w:rPr>
      <w:rFonts w:ascii="Calibri" w:hAnsi="Calibri"/>
      <w:sz w:val="22"/>
      <w:szCs w:val="22"/>
      <w:lang w:eastAsia="en-US"/>
    </w:rPr>
  </w:style>
  <w:style w:type="paragraph" w:styleId="963">
    <w:name w:val="List Paragraph"/>
    <w:basedOn w:val="926"/>
    <w:qFormat/>
    <w:pPr>
      <w:pBdr/>
      <w:spacing/>
      <w:ind w:left="720"/>
    </w:pPr>
    <w:rPr>
      <w:rFonts w:ascii="Calibri" w:hAnsi="Calibri" w:cs="Calibri"/>
      <w:sz w:val="24"/>
      <w:szCs w:val="24"/>
    </w:rPr>
  </w:style>
  <w:style w:type="character" w:styleId="964" w:customStyle="1">
    <w:name w:val="Заголовок 2 Знак"/>
    <w:link w:val="927"/>
    <w:pPr>
      <w:pBdr/>
      <w:spacing/>
      <w:ind/>
    </w:pPr>
    <w:rPr>
      <w:rFonts w:ascii="Calibri Light" w:hAnsi="Calibri Light" w:eastAsia="Times New Roman" w:cs="Times New Roman"/>
      <w:b/>
      <w:bCs/>
      <w:i/>
      <w:iCs/>
      <w:sz w:val="28"/>
      <w:szCs w:val="28"/>
    </w:rPr>
  </w:style>
  <w:style w:type="paragraph" w:styleId="965">
    <w:name w:val="Body Text Indent"/>
    <w:basedOn w:val="926"/>
    <w:link w:val="966"/>
    <w:pPr>
      <w:pBdr/>
      <w:spacing w:after="120"/>
      <w:ind w:left="283"/>
    </w:pPr>
  </w:style>
  <w:style w:type="character" w:styleId="966" w:customStyle="1">
    <w:name w:val="Основной текст с отступом Знак"/>
    <w:basedOn w:val="929"/>
    <w:link w:val="965"/>
    <w:pPr>
      <w:pBdr/>
      <w:spacing/>
      <w:ind/>
    </w:pPr>
  </w:style>
  <w:style w:type="paragraph" w:styleId="967" w:customStyle="1">
    <w:name w:val="rezul"/>
    <w:basedOn w:val="926"/>
    <w:pPr>
      <w:widowControl w:val="false"/>
      <w:pBdr/>
      <w:spacing/>
      <w:ind w:firstLine="283"/>
      <w:jc w:val="both"/>
    </w:pPr>
    <w:rPr>
      <w:b/>
      <w:sz w:val="22"/>
      <w:lang w:val="en-US" w:eastAsia="en-US"/>
    </w:rPr>
  </w:style>
  <w:style w:type="paragraph" w:styleId="968" w:customStyle="1">
    <w:name w:val="Char Знак"/>
    <w:basedOn w:val="926"/>
    <w:pPr>
      <w:pBdr/>
      <w:spacing w:after="100" w:afterAutospacing="1" w:before="100" w:beforeAutospacing="1"/>
      <w:ind/>
    </w:pPr>
    <w:rPr>
      <w:rFonts w:ascii="Tahoma" w:hAnsi="Tahoma"/>
      <w:lang w:val="en-US" w:eastAsia="en-US"/>
    </w:rPr>
  </w:style>
  <w:style w:type="paragraph" w:styleId="969" w:customStyle="1">
    <w:name w:val="Char Знак"/>
    <w:basedOn w:val="926"/>
    <w:pPr>
      <w:pBdr/>
      <w:spacing w:after="100" w:afterAutospacing="1" w:before="100" w:beforeAutospacing="1"/>
      <w:ind/>
    </w:pPr>
    <w:rPr>
      <w:rFonts w:ascii="Tahoma" w:hAnsi="Tahoma"/>
      <w:lang w:val="en-US" w:eastAsia="en-US"/>
    </w:rPr>
  </w:style>
  <w:style w:type="character" w:styleId="970" w:customStyle="1">
    <w:name w:val="Интернет-ссылка"/>
    <w:basedOn w:val="759"/>
    <w:next w:val="760"/>
    <w:pPr>
      <w:pBdr/>
      <w:spacing/>
      <w:ind/>
    </w:pPr>
    <w:rPr>
      <w:color w:val="0000ff"/>
      <w:u w:val="single"/>
    </w:rPr>
  </w:style>
  <w:style w:type="character" w:styleId="971" w:customStyle="1">
    <w:name w:val="T4"/>
    <w:pPr>
      <w:pBdr/>
      <w:spacing/>
      <w:ind/>
    </w:pPr>
    <w:rPr>
      <w:rFonts w:ascii="Times New Roman" w:hAnsi="Times New Roman" w:cs="Times New Roman"/>
      <w:color w:val="000000"/>
      <w:sz w:val="24"/>
      <w:szCs w:val="24"/>
      <w:u w:val="single"/>
      <w:lang w:val="ru-RU"/>
    </w:rPr>
  </w:style>
  <w:style w:type="paragraph" w:styleId="972" w:customStyle="1">
    <w:name w:val="Сноска"/>
    <w:pPr>
      <w:keepNext w:val="false"/>
      <w:keepLines w:val="false"/>
      <w:pageBreakBefore w:val="false"/>
      <w:widowControl w:val="true"/>
      <w:suppressLineNumbers w:val="false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hd w:val="nil"/>
      <w:spacing w:after="0" w:afterAutospacing="0" w:before="0" w:beforeAutospacing="0" w:line="360" w:lineRule="auto"/>
      <w:ind w:right="0" w:firstLine="680" w:left="0"/>
      <w:contextualSpacing w:val="false"/>
      <w:jc w:val="both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0"/>
      <w:highlight w:val="none"/>
      <w:u w:val="none"/>
      <w:vertAlign w:val="baseline"/>
      <w:rtl w:val="0"/>
      <w:cs w:val="0"/>
      <w:lang w:val="ru-RU" w:eastAsia="zh-CN" w:bidi="ar-SA"/>
      <w14:ligatures w14:val="none"/>
    </w:rPr>
  </w:style>
  <w:style w:type="paragraph" w:styleId="973" w:customStyle="1">
    <w:name w:val="Содержимое таблицы"/>
    <w:next w:val="751"/>
    <w:pPr>
      <w:keepNext w:val="false"/>
      <w:keepLines w:val="false"/>
      <w:pageBreakBefore w:val="false"/>
      <w:widowControl w:val="false"/>
      <w:numPr>
        <w:ilvl w:val="0"/>
        <w:numId w:val="0"/>
      </w:numPr>
      <w:suppressLineNumbers w:val="true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hd w:val="nil"/>
      <w:bidi w:val="false"/>
      <w:spacing w:after="0" w:afterAutospacing="0" w:before="0" w:beforeAutospacing="0" w:line="100" w:lineRule="atLeast"/>
      <w:ind w:right="0" w:firstLine="0" w:left="0"/>
      <w:contextualSpacing w:val="false"/>
      <w:jc w:val="left"/>
    </w:pPr>
    <w:rPr>
      <w:rFonts w:ascii="Times New Roman" w:hAnsi="Times New Roman" w:eastAsia="Andale Sans UI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zh-CN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image" Target="media/image1.png"/><Relationship Id="rId11" Type="http://schemas.openxmlformats.org/officeDocument/2006/relationships/hyperlink" Target="http://www.torgi.gov.ru/" TargetMode="External"/><Relationship Id="rId12" Type="http://schemas.openxmlformats.org/officeDocument/2006/relationships/hyperlink" Target="https://www.rts-tender.ru/" TargetMode="External"/><Relationship Id="rId13" Type="http://schemas.openxmlformats.org/officeDocument/2006/relationships/hyperlink" Target="https://www.rts-tender.ru/" TargetMode="External"/><Relationship Id="rId14" Type="http://schemas.openxmlformats.org/officeDocument/2006/relationships/hyperlink" Target="https://www.rts-tender.ru/" TargetMode="External"/><Relationship Id="rId15" Type="http://schemas.openxmlformats.org/officeDocument/2006/relationships/hyperlink" Target="mailto:info@rts-tender.ru" TargetMode="External"/><Relationship Id="rId16" Type="http://schemas.openxmlformats.org/officeDocument/2006/relationships/hyperlink" Target="https://www.rts-tender.ru/" TargetMode="External"/><Relationship Id="rId17" Type="http://schemas.openxmlformats.org/officeDocument/2006/relationships/hyperlink" Target="https://www.rts-tender.ru/" TargetMode="External"/><Relationship Id="rId18" Type="http://schemas.openxmlformats.org/officeDocument/2006/relationships/hyperlink" Target="consultantplus://offline/ref=66C80AC672F060AF61B291B7A77E40AF1A03A3E766663D715292C8146D5784480EF3DBA957725202A325F56DC080846393774DA8E5232094rFu2E" TargetMode="External"/><Relationship Id="rId19" Type="http://schemas.openxmlformats.org/officeDocument/2006/relationships/hyperlink" Target="consultantplus://offline/ref=66C80AC672F060AF61B291B7A77E40AF1A04AAE76C6C3D715292C8146D5784480EF3DBAE5F7B5957F16AF43184D4976391774FABF9r2u2E" TargetMode="External"/><Relationship Id="rId20" Type="http://schemas.openxmlformats.org/officeDocument/2006/relationships/hyperlink" Target="consultantplus://offline/ref=66C80AC672F060AF61B291B7A77E40AF1A04AAE76C6C3D715292C8146D5784480EF3DBAE5E725957F16AF43184D4976391774FABF9r2u2E" TargetMode="External"/><Relationship Id="rId21" Type="http://schemas.openxmlformats.org/officeDocument/2006/relationships/hyperlink" Target="consultantplus://offline/ref=66C80AC672F060AF61B291B7A77E40AF1A04AAE76C6C3D715292C8146D5784480EF3DBAF57705957F16AF43184D4976391774FABF9r2u2E" TargetMode="External"/><Relationship Id="rId22" Type="http://schemas.openxmlformats.org/officeDocument/2006/relationships/hyperlink" Target="consultantplus://offline/ref=66C80AC672F060AF61B291B7A77E40AF1A04AAE76C6C3D715292C8146D5784480EF3DBA957735000A225F56DC080846393774DA8E5232094rFu2E" TargetMode="External"/><Relationship Id="rId23" Type="http://schemas.openxmlformats.org/officeDocument/2006/relationships/hyperlink" Target="http://www.torgi.gov.ru/" TargetMode="External"/><Relationship Id="rId24" Type="http://schemas.openxmlformats.org/officeDocument/2006/relationships/hyperlink" Target="http://www.rts-tender.ru" TargetMode="External"/><Relationship Id="rId25" Type="http://schemas.openxmlformats.org/officeDocument/2006/relationships/hyperlink" Target="http://www.torgi.gov.ru/" TargetMode="External"/><Relationship Id="rId26" Type="http://schemas.openxmlformats.org/officeDocument/2006/relationships/hyperlink" Target="https://www.rts-tender.r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4661FD-15B4-4D97-9DEE-E75DD6E766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ONLYOFFICE/8.1.1.27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УВЕРЖДАЮ:</dc:title>
  <dc:subject/>
  <dc:creator>User04</dc:creator>
  <cp:keywords/>
  <cp:revision>33</cp:revision>
  <dcterms:created xsi:type="dcterms:W3CDTF">2023-05-03T05:29:00Z</dcterms:created>
  <dcterms:modified xsi:type="dcterms:W3CDTF">2024-09-12T15:01:00Z</dcterms:modified>
</cp:coreProperties>
</file>